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C2B" w:rsidRPr="00073C0D" w:rsidRDefault="00F05C2B" w:rsidP="00073C0D">
      <w:pPr>
        <w:widowControl w:val="0"/>
        <w:spacing w:after="0" w:line="276" w:lineRule="auto"/>
        <w:jc w:val="center"/>
        <w:rPr>
          <w:rFonts w:ascii="Times New Roman" w:eastAsia="Times New Roman" w:hAnsi="Times New Roman" w:cs="Times New Roman"/>
          <w:b/>
          <w:sz w:val="24"/>
          <w:szCs w:val="24"/>
        </w:rPr>
      </w:pPr>
      <w:r w:rsidRPr="00073C0D">
        <w:rPr>
          <w:rFonts w:ascii="Times New Roman" w:eastAsia="Times New Roman" w:hAnsi="Times New Roman" w:cs="Times New Roman"/>
          <w:noProof/>
          <w:sz w:val="24"/>
          <w:szCs w:val="24"/>
          <w:lang w:eastAsia="sq-AL"/>
        </w:rPr>
        <w:drawing>
          <wp:anchor distT="0" distB="0" distL="114300" distR="114300" simplePos="0" relativeHeight="251661824" behindDoc="0" locked="0" layoutInCell="1" allowOverlap="1" wp14:anchorId="18670419" wp14:editId="4314EC8D">
            <wp:simplePos x="0" y="0"/>
            <wp:positionH relativeFrom="margin">
              <wp:posOffset>-537210</wp:posOffset>
            </wp:positionH>
            <wp:positionV relativeFrom="paragraph">
              <wp:posOffset>-145136</wp:posOffset>
            </wp:positionV>
            <wp:extent cx="6587490" cy="863600"/>
            <wp:effectExtent l="0" t="0" r="0" b="0"/>
            <wp:wrapTopAndBottom/>
            <wp:docPr id="5" name="Picture 5" descr="5-ministria-financ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ministria-financave-Grey-01"/>
                    <pic:cNvPicPr>
                      <a:picLocks noChangeAspect="1" noChangeArrowheads="1"/>
                    </pic:cNvPicPr>
                  </pic:nvPicPr>
                  <pic:blipFill rotWithShape="1">
                    <a:blip r:embed="rId8"/>
                    <a:srcRect l="4" t="15433" r="4" b="14101"/>
                    <a:stretch/>
                  </pic:blipFill>
                  <pic:spPr bwMode="auto">
                    <a:xfrm>
                      <a:off x="0" y="0"/>
                      <a:ext cx="6587490" cy="863600"/>
                    </a:xfrm>
                    <a:prstGeom prst="rect">
                      <a:avLst/>
                    </a:prstGeom>
                    <a:noFill/>
                    <a:ln>
                      <a:noFill/>
                    </a:ln>
                    <a:extLst>
                      <a:ext uri="{53640926-AAD7-44D8-BBD7-CCE9431645EC}">
                        <a14:shadowObscured xmlns:a14="http://schemas.microsoft.com/office/drawing/2010/main"/>
                      </a:ext>
                    </a:extLst>
                  </pic:spPr>
                </pic:pic>
              </a:graphicData>
            </a:graphic>
          </wp:anchor>
        </w:drawing>
      </w:r>
      <w:r w:rsidRPr="00073C0D">
        <w:rPr>
          <w:rFonts w:ascii="Times New Roman" w:eastAsia="Times New Roman" w:hAnsi="Times New Roman" w:cs="Times New Roman"/>
          <w:b/>
          <w:sz w:val="24"/>
          <w:szCs w:val="24"/>
        </w:rPr>
        <w:t>MINISTRIA E FINANCAVE DHE EKONOMISË</w:t>
      </w:r>
    </w:p>
    <w:p w:rsidR="00E419A3" w:rsidRPr="00073C0D" w:rsidRDefault="00F05C2B" w:rsidP="00073C0D">
      <w:pPr>
        <w:widowControl w:val="0"/>
        <w:spacing w:after="0" w:line="276" w:lineRule="auto"/>
        <w:jc w:val="center"/>
        <w:rPr>
          <w:rFonts w:ascii="Times New Roman" w:hAnsi="Times New Roman" w:cs="Times New Roman"/>
          <w:b/>
          <w:sz w:val="24"/>
          <w:szCs w:val="24"/>
        </w:rPr>
      </w:pPr>
      <w:r w:rsidRPr="00073C0D">
        <w:rPr>
          <w:rFonts w:ascii="Times New Roman" w:eastAsia="Times New Roman" w:hAnsi="Times New Roman" w:cs="Times New Roman"/>
          <w:b/>
          <w:sz w:val="24"/>
          <w:szCs w:val="24"/>
        </w:rPr>
        <w:t>DREJTORIA E APELIMIT TATIMOR</w:t>
      </w:r>
    </w:p>
    <w:p w:rsidR="00E419A3" w:rsidRPr="00073C0D" w:rsidRDefault="00E419A3" w:rsidP="00073C0D">
      <w:pPr>
        <w:widowControl w:val="0"/>
        <w:spacing w:after="0" w:line="276" w:lineRule="auto"/>
        <w:jc w:val="center"/>
        <w:rPr>
          <w:rFonts w:ascii="Times New Roman" w:hAnsi="Times New Roman" w:cs="Times New Roman"/>
          <w:b/>
          <w:sz w:val="24"/>
          <w:szCs w:val="24"/>
        </w:rPr>
      </w:pPr>
    </w:p>
    <w:p w:rsidR="00C62507" w:rsidRPr="00073C0D" w:rsidRDefault="001F1FA3" w:rsidP="00073C0D">
      <w:pPr>
        <w:widowControl w:val="0"/>
        <w:spacing w:after="0" w:line="276" w:lineRule="auto"/>
        <w:jc w:val="both"/>
        <w:rPr>
          <w:rFonts w:ascii="Times New Roman" w:hAnsi="Times New Roman" w:cs="Times New Roman"/>
          <w:sz w:val="24"/>
          <w:szCs w:val="24"/>
        </w:rPr>
      </w:pPr>
      <w:r w:rsidRPr="00073C0D">
        <w:rPr>
          <w:rFonts w:ascii="Times New Roman" w:hAnsi="Times New Roman" w:cs="Times New Roman"/>
          <w:sz w:val="24"/>
          <w:szCs w:val="24"/>
        </w:rPr>
        <w:t>Nr.</w:t>
      </w:r>
      <w:r w:rsidR="00613C22" w:rsidRPr="00073C0D">
        <w:rPr>
          <w:rFonts w:ascii="Times New Roman" w:hAnsi="Times New Roman" w:cs="Times New Roman"/>
          <w:sz w:val="24"/>
          <w:szCs w:val="24"/>
        </w:rPr>
        <w:t xml:space="preserve"> </w:t>
      </w:r>
      <w:r w:rsidR="006B79D6">
        <w:rPr>
          <w:rFonts w:ascii="Times New Roman" w:hAnsi="Times New Roman" w:cs="Times New Roman"/>
          <w:sz w:val="24"/>
          <w:szCs w:val="24"/>
        </w:rPr>
        <w:t>____</w:t>
      </w:r>
      <w:r w:rsidR="00C81C14" w:rsidRPr="00073C0D">
        <w:rPr>
          <w:rFonts w:ascii="Times New Roman" w:hAnsi="Times New Roman" w:cs="Times New Roman"/>
          <w:sz w:val="24"/>
          <w:szCs w:val="24"/>
        </w:rPr>
        <w:t xml:space="preserve"> </w:t>
      </w:r>
      <w:r w:rsidRPr="00073C0D">
        <w:rPr>
          <w:rFonts w:ascii="Times New Roman" w:hAnsi="Times New Roman" w:cs="Times New Roman"/>
          <w:sz w:val="24"/>
          <w:szCs w:val="24"/>
        </w:rPr>
        <w:t xml:space="preserve">/       </w:t>
      </w:r>
      <w:r w:rsidR="00C62507" w:rsidRPr="00073C0D">
        <w:rPr>
          <w:rFonts w:ascii="Times New Roman" w:hAnsi="Times New Roman" w:cs="Times New Roman"/>
          <w:sz w:val="24"/>
          <w:szCs w:val="24"/>
        </w:rPr>
        <w:t>prot.</w:t>
      </w:r>
      <w:r w:rsidR="00C62507" w:rsidRPr="00073C0D">
        <w:rPr>
          <w:rFonts w:ascii="Times New Roman" w:hAnsi="Times New Roman" w:cs="Times New Roman"/>
          <w:sz w:val="24"/>
          <w:szCs w:val="24"/>
        </w:rPr>
        <w:tab/>
      </w:r>
      <w:r w:rsidR="00C62507" w:rsidRPr="00073C0D">
        <w:rPr>
          <w:rFonts w:ascii="Times New Roman" w:hAnsi="Times New Roman" w:cs="Times New Roman"/>
          <w:sz w:val="24"/>
          <w:szCs w:val="24"/>
        </w:rPr>
        <w:tab/>
      </w:r>
      <w:r w:rsidR="00C62507" w:rsidRPr="00073C0D">
        <w:rPr>
          <w:rFonts w:ascii="Times New Roman" w:hAnsi="Times New Roman" w:cs="Times New Roman"/>
          <w:sz w:val="24"/>
          <w:szCs w:val="24"/>
        </w:rPr>
        <w:tab/>
      </w:r>
      <w:r w:rsidR="00C62507" w:rsidRPr="00073C0D">
        <w:rPr>
          <w:rFonts w:ascii="Times New Roman" w:hAnsi="Times New Roman" w:cs="Times New Roman"/>
          <w:sz w:val="24"/>
          <w:szCs w:val="24"/>
        </w:rPr>
        <w:tab/>
      </w:r>
      <w:r w:rsidR="00C62507" w:rsidRPr="00073C0D">
        <w:rPr>
          <w:rFonts w:ascii="Times New Roman" w:hAnsi="Times New Roman" w:cs="Times New Roman"/>
          <w:sz w:val="24"/>
          <w:szCs w:val="24"/>
        </w:rPr>
        <w:tab/>
      </w:r>
      <w:r w:rsidR="00C62507" w:rsidRPr="00073C0D">
        <w:rPr>
          <w:rFonts w:ascii="Times New Roman" w:hAnsi="Times New Roman" w:cs="Times New Roman"/>
          <w:sz w:val="24"/>
          <w:szCs w:val="24"/>
        </w:rPr>
        <w:tab/>
        <w:t xml:space="preserve">    </w:t>
      </w:r>
      <w:r w:rsidR="00613C22" w:rsidRPr="00073C0D">
        <w:rPr>
          <w:rFonts w:ascii="Times New Roman" w:hAnsi="Times New Roman" w:cs="Times New Roman"/>
          <w:sz w:val="24"/>
          <w:szCs w:val="24"/>
        </w:rPr>
        <w:t xml:space="preserve">        </w:t>
      </w:r>
      <w:r w:rsidR="00C62507" w:rsidRPr="00073C0D">
        <w:rPr>
          <w:rFonts w:ascii="Times New Roman" w:hAnsi="Times New Roman" w:cs="Times New Roman"/>
          <w:sz w:val="24"/>
          <w:szCs w:val="24"/>
        </w:rPr>
        <w:t>Tiran</w:t>
      </w:r>
      <w:r w:rsidR="00E5790F" w:rsidRPr="00073C0D">
        <w:rPr>
          <w:rFonts w:ascii="Times New Roman" w:hAnsi="Times New Roman" w:cs="Times New Roman"/>
          <w:sz w:val="24"/>
          <w:szCs w:val="24"/>
        </w:rPr>
        <w:t>ë</w:t>
      </w:r>
      <w:r w:rsidR="00C62507" w:rsidRPr="00073C0D">
        <w:rPr>
          <w:rFonts w:ascii="Times New Roman" w:hAnsi="Times New Roman" w:cs="Times New Roman"/>
          <w:sz w:val="24"/>
          <w:szCs w:val="24"/>
        </w:rPr>
        <w:t>, m</w:t>
      </w:r>
      <w:r w:rsidR="00E5790F" w:rsidRPr="00073C0D">
        <w:rPr>
          <w:rFonts w:ascii="Times New Roman" w:hAnsi="Times New Roman" w:cs="Times New Roman"/>
          <w:sz w:val="24"/>
          <w:szCs w:val="24"/>
        </w:rPr>
        <w:t>ë</w:t>
      </w:r>
      <w:r w:rsidR="00677E0A" w:rsidRPr="00073C0D">
        <w:rPr>
          <w:rFonts w:ascii="Times New Roman" w:hAnsi="Times New Roman" w:cs="Times New Roman"/>
          <w:sz w:val="24"/>
          <w:szCs w:val="24"/>
        </w:rPr>
        <w:t>___.___.2022</w:t>
      </w:r>
      <w:r w:rsidR="00C62507" w:rsidRPr="00073C0D">
        <w:rPr>
          <w:rFonts w:ascii="Times New Roman" w:hAnsi="Times New Roman" w:cs="Times New Roman"/>
          <w:sz w:val="24"/>
          <w:szCs w:val="24"/>
        </w:rPr>
        <w:t xml:space="preserve"> </w:t>
      </w:r>
    </w:p>
    <w:p w:rsidR="00C62507" w:rsidRDefault="00C62507" w:rsidP="00073C0D">
      <w:pPr>
        <w:widowControl w:val="0"/>
        <w:spacing w:after="0" w:line="276" w:lineRule="auto"/>
        <w:jc w:val="both"/>
        <w:rPr>
          <w:rFonts w:ascii="Times New Roman" w:hAnsi="Times New Roman" w:cs="Times New Roman"/>
          <w:sz w:val="24"/>
          <w:szCs w:val="24"/>
        </w:rPr>
      </w:pPr>
    </w:p>
    <w:p w:rsidR="00A04B1A" w:rsidRPr="00073C0D" w:rsidRDefault="00A04B1A" w:rsidP="00073C0D">
      <w:pPr>
        <w:widowControl w:val="0"/>
        <w:spacing w:after="0" w:line="276" w:lineRule="auto"/>
        <w:jc w:val="center"/>
        <w:rPr>
          <w:rFonts w:ascii="Times New Roman" w:hAnsi="Times New Roman" w:cs="Times New Roman"/>
          <w:b/>
          <w:sz w:val="24"/>
          <w:szCs w:val="24"/>
        </w:rPr>
      </w:pPr>
      <w:r w:rsidRPr="00073C0D">
        <w:rPr>
          <w:rFonts w:ascii="Times New Roman" w:hAnsi="Times New Roman" w:cs="Times New Roman"/>
          <w:b/>
          <w:sz w:val="24"/>
          <w:szCs w:val="24"/>
        </w:rPr>
        <w:t>V E N D I M</w:t>
      </w:r>
    </w:p>
    <w:p w:rsidR="00A04B1A" w:rsidRPr="00073C0D" w:rsidRDefault="00A04B1A" w:rsidP="00073C0D">
      <w:pPr>
        <w:widowControl w:val="0"/>
        <w:spacing w:after="0" w:line="276" w:lineRule="auto"/>
        <w:jc w:val="center"/>
        <w:rPr>
          <w:rFonts w:ascii="Times New Roman" w:hAnsi="Times New Roman" w:cs="Times New Roman"/>
          <w:b/>
          <w:sz w:val="24"/>
          <w:szCs w:val="24"/>
        </w:rPr>
      </w:pPr>
    </w:p>
    <w:p w:rsidR="00A04B1A" w:rsidRPr="00073C0D" w:rsidRDefault="00A04B1A" w:rsidP="00073C0D">
      <w:pPr>
        <w:widowControl w:val="0"/>
        <w:spacing w:after="0" w:line="276" w:lineRule="auto"/>
        <w:jc w:val="both"/>
        <w:rPr>
          <w:rFonts w:ascii="Times New Roman" w:hAnsi="Times New Roman" w:cs="Times New Roman"/>
          <w:sz w:val="24"/>
          <w:szCs w:val="24"/>
        </w:rPr>
      </w:pPr>
      <w:r w:rsidRPr="00073C0D">
        <w:rPr>
          <w:rFonts w:ascii="Times New Roman" w:hAnsi="Times New Roman" w:cs="Times New Roman"/>
          <w:sz w:val="24"/>
          <w:szCs w:val="24"/>
        </w:rPr>
        <w:t>Drejtoria e Apelimit Tatimor, në zbatim të kreut XIII të Ligjit Nr. 9920, datë 19.05.2008 “Për Procedurat Tatimore në RSH”, mori në shqyrtim kërkesën ankimore, që i përket:</w:t>
      </w:r>
    </w:p>
    <w:p w:rsidR="00A04B1A" w:rsidRPr="00073C0D" w:rsidRDefault="00A04B1A" w:rsidP="00073C0D">
      <w:pPr>
        <w:widowControl w:val="0"/>
        <w:spacing w:after="0" w:line="276" w:lineRule="auto"/>
        <w:jc w:val="both"/>
        <w:rPr>
          <w:rFonts w:ascii="Times New Roman" w:hAnsi="Times New Roman" w:cs="Times New Roman"/>
          <w:sz w:val="24"/>
          <w:szCs w:val="24"/>
        </w:rPr>
      </w:pPr>
    </w:p>
    <w:p w:rsidR="00A04B1A" w:rsidRPr="00073C0D" w:rsidRDefault="00A04B1A" w:rsidP="00073C0D">
      <w:pPr>
        <w:widowControl w:val="0"/>
        <w:spacing w:after="0" w:line="276" w:lineRule="auto"/>
        <w:rPr>
          <w:rFonts w:ascii="Times New Roman" w:hAnsi="Times New Roman" w:cs="Times New Roman"/>
          <w:sz w:val="24"/>
          <w:szCs w:val="24"/>
        </w:rPr>
      </w:pPr>
      <w:r w:rsidRPr="00073C0D">
        <w:rPr>
          <w:rFonts w:ascii="Times New Roman" w:hAnsi="Times New Roman" w:cs="Times New Roman"/>
          <w:sz w:val="24"/>
          <w:szCs w:val="24"/>
        </w:rPr>
        <w:t xml:space="preserve">KËRKUES: </w:t>
      </w:r>
      <w:r w:rsidRPr="00073C0D">
        <w:rPr>
          <w:rFonts w:ascii="Times New Roman" w:hAnsi="Times New Roman" w:cs="Times New Roman"/>
          <w:sz w:val="24"/>
          <w:szCs w:val="24"/>
        </w:rPr>
        <w:tab/>
      </w:r>
      <w:r w:rsidR="006B79D6">
        <w:rPr>
          <w:rFonts w:ascii="Times New Roman" w:hAnsi="Times New Roman" w:cs="Times New Roman"/>
          <w:sz w:val="24"/>
          <w:szCs w:val="24"/>
        </w:rPr>
        <w:t>________</w:t>
      </w:r>
    </w:p>
    <w:p w:rsidR="00A04B1A" w:rsidRPr="00073C0D" w:rsidRDefault="00A04B1A" w:rsidP="00073C0D">
      <w:pPr>
        <w:widowControl w:val="0"/>
        <w:spacing w:after="0" w:line="276" w:lineRule="auto"/>
        <w:ind w:left="1440" w:hanging="1440"/>
        <w:jc w:val="both"/>
        <w:rPr>
          <w:rFonts w:ascii="Times New Roman" w:hAnsi="Times New Roman" w:cs="Times New Roman"/>
          <w:sz w:val="24"/>
          <w:szCs w:val="24"/>
        </w:rPr>
      </w:pPr>
      <w:r w:rsidRPr="00073C0D">
        <w:rPr>
          <w:rFonts w:ascii="Times New Roman" w:hAnsi="Times New Roman" w:cs="Times New Roman"/>
          <w:sz w:val="24"/>
          <w:szCs w:val="24"/>
        </w:rPr>
        <w:t xml:space="preserve">OBJEKTI: </w:t>
      </w:r>
      <w:r w:rsidRPr="00073C0D">
        <w:rPr>
          <w:rFonts w:ascii="Times New Roman" w:hAnsi="Times New Roman" w:cs="Times New Roman"/>
          <w:sz w:val="24"/>
          <w:szCs w:val="24"/>
        </w:rPr>
        <w:tab/>
        <w:t xml:space="preserve">Ankim </w:t>
      </w:r>
      <w:r w:rsidR="00415224" w:rsidRPr="00073C0D">
        <w:rPr>
          <w:rFonts w:ascii="Times New Roman" w:hAnsi="Times New Roman" w:cs="Times New Roman"/>
          <w:sz w:val="24"/>
          <w:szCs w:val="24"/>
        </w:rPr>
        <w:t>ndaj Njoftim Vlerësimit për detyrimet</w:t>
      </w:r>
      <w:r w:rsidR="009A6697">
        <w:rPr>
          <w:rFonts w:ascii="Times New Roman" w:hAnsi="Times New Roman" w:cs="Times New Roman"/>
          <w:sz w:val="24"/>
          <w:szCs w:val="24"/>
        </w:rPr>
        <w:t>,</w:t>
      </w:r>
      <w:r w:rsidR="00415224" w:rsidRPr="00073C0D">
        <w:rPr>
          <w:rFonts w:ascii="Times New Roman" w:hAnsi="Times New Roman" w:cs="Times New Roman"/>
          <w:sz w:val="24"/>
          <w:szCs w:val="24"/>
        </w:rPr>
        <w:t xml:space="preserve"> </w:t>
      </w:r>
      <w:r w:rsidR="00613C22" w:rsidRPr="00073C0D">
        <w:rPr>
          <w:rFonts w:ascii="Times New Roman" w:hAnsi="Times New Roman" w:cs="Times New Roman"/>
          <w:sz w:val="24"/>
          <w:szCs w:val="24"/>
        </w:rPr>
        <w:t>ku jan</w:t>
      </w:r>
      <w:r w:rsidR="00AC10AB" w:rsidRPr="00073C0D">
        <w:rPr>
          <w:rFonts w:ascii="Times New Roman" w:hAnsi="Times New Roman" w:cs="Times New Roman"/>
          <w:sz w:val="24"/>
          <w:szCs w:val="24"/>
        </w:rPr>
        <w:t>ë</w:t>
      </w:r>
      <w:r w:rsidR="00613C22" w:rsidRPr="00073C0D">
        <w:rPr>
          <w:rFonts w:ascii="Times New Roman" w:hAnsi="Times New Roman" w:cs="Times New Roman"/>
          <w:sz w:val="24"/>
          <w:szCs w:val="24"/>
        </w:rPr>
        <w:t xml:space="preserve"> p</w:t>
      </w:r>
      <w:r w:rsidR="00AC10AB" w:rsidRPr="00073C0D">
        <w:rPr>
          <w:rFonts w:ascii="Times New Roman" w:hAnsi="Times New Roman" w:cs="Times New Roman"/>
          <w:sz w:val="24"/>
          <w:szCs w:val="24"/>
        </w:rPr>
        <w:t>ë</w:t>
      </w:r>
      <w:r w:rsidR="00613C22" w:rsidRPr="00073C0D">
        <w:rPr>
          <w:rFonts w:ascii="Times New Roman" w:hAnsi="Times New Roman" w:cs="Times New Roman"/>
          <w:sz w:val="24"/>
          <w:szCs w:val="24"/>
        </w:rPr>
        <w:t>rcaktuar detyrimet si m</w:t>
      </w:r>
      <w:r w:rsidR="00AC10AB" w:rsidRPr="00073C0D">
        <w:rPr>
          <w:rFonts w:ascii="Times New Roman" w:hAnsi="Times New Roman" w:cs="Times New Roman"/>
          <w:sz w:val="24"/>
          <w:szCs w:val="24"/>
        </w:rPr>
        <w:t>ë</w:t>
      </w:r>
      <w:r w:rsidR="00613C22" w:rsidRPr="00073C0D">
        <w:rPr>
          <w:rFonts w:ascii="Times New Roman" w:hAnsi="Times New Roman" w:cs="Times New Roman"/>
          <w:sz w:val="24"/>
          <w:szCs w:val="24"/>
        </w:rPr>
        <w:t xml:space="preserve"> posht</w:t>
      </w:r>
      <w:r w:rsidR="00AC10AB" w:rsidRPr="00073C0D">
        <w:rPr>
          <w:rFonts w:ascii="Times New Roman" w:hAnsi="Times New Roman" w:cs="Times New Roman"/>
          <w:sz w:val="24"/>
          <w:szCs w:val="24"/>
        </w:rPr>
        <w:t>ë</w:t>
      </w:r>
      <w:r w:rsidR="00613C22" w:rsidRPr="00073C0D">
        <w:rPr>
          <w:rFonts w:ascii="Times New Roman" w:hAnsi="Times New Roman" w:cs="Times New Roman"/>
          <w:sz w:val="24"/>
          <w:szCs w:val="24"/>
        </w:rPr>
        <w:t>:</w:t>
      </w:r>
    </w:p>
    <w:p w:rsidR="00073C0D" w:rsidRPr="00073C0D" w:rsidRDefault="00073C0D" w:rsidP="00073C0D">
      <w:pPr>
        <w:widowControl w:val="0"/>
        <w:spacing w:after="0" w:line="276" w:lineRule="auto"/>
        <w:ind w:left="1440" w:hanging="1440"/>
        <w:jc w:val="both"/>
        <w:rPr>
          <w:rFonts w:ascii="Times New Roman" w:hAnsi="Times New Roman" w:cs="Times New Roman"/>
          <w:sz w:val="24"/>
          <w:szCs w:val="24"/>
        </w:rPr>
      </w:pPr>
    </w:p>
    <w:tbl>
      <w:tblPr>
        <w:tblW w:w="4890" w:type="pct"/>
        <w:tblLook w:val="04A0" w:firstRow="1" w:lastRow="0" w:firstColumn="1" w:lastColumn="0" w:noHBand="0" w:noVBand="1"/>
      </w:tblPr>
      <w:tblGrid>
        <w:gridCol w:w="1243"/>
        <w:gridCol w:w="1134"/>
        <w:gridCol w:w="1275"/>
        <w:gridCol w:w="1276"/>
        <w:gridCol w:w="1989"/>
        <w:gridCol w:w="2123"/>
      </w:tblGrid>
      <w:tr w:rsidR="00073C0D" w:rsidRPr="00073C0D" w:rsidTr="00073C0D">
        <w:trPr>
          <w:trHeight w:val="20"/>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0D" w:rsidRPr="00073C0D" w:rsidRDefault="00073C0D" w:rsidP="00073C0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Tatimi</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073C0D" w:rsidRPr="00073C0D" w:rsidRDefault="00073C0D" w:rsidP="00073C0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Periudha</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073C0D" w:rsidRPr="00073C0D" w:rsidRDefault="00073C0D" w:rsidP="00073C0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Detyrim</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073C0D" w:rsidRPr="00073C0D" w:rsidRDefault="00073C0D" w:rsidP="00073C0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Kamatë-</w:t>
            </w:r>
          </w:p>
          <w:p w:rsidR="00073C0D" w:rsidRPr="00073C0D" w:rsidRDefault="00073C0D" w:rsidP="00073C0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vonesa</w:t>
            </w:r>
          </w:p>
        </w:tc>
        <w:tc>
          <w:tcPr>
            <w:tcW w:w="1100" w:type="pct"/>
            <w:tcBorders>
              <w:top w:val="single" w:sz="4" w:space="0" w:color="auto"/>
              <w:left w:val="nil"/>
              <w:bottom w:val="single" w:sz="4" w:space="0" w:color="auto"/>
              <w:right w:val="single" w:sz="4" w:space="0" w:color="auto"/>
            </w:tcBorders>
            <w:shd w:val="clear" w:color="auto" w:fill="auto"/>
            <w:vAlign w:val="center"/>
            <w:hideMark/>
          </w:tcPr>
          <w:p w:rsidR="00073C0D" w:rsidRPr="00073C0D" w:rsidRDefault="00073C0D" w:rsidP="00073C0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Gjobë për pages</w:t>
            </w:r>
            <w:r w:rsidR="00AA385C">
              <w:rPr>
                <w:rFonts w:ascii="Times New Roman" w:eastAsia="Times New Roman" w:hAnsi="Times New Roman" w:cs="Times New Roman"/>
                <w:b/>
                <w:color w:val="000000"/>
              </w:rPr>
              <w:t>ë</w:t>
            </w:r>
            <w:r w:rsidRPr="00073C0D">
              <w:rPr>
                <w:rFonts w:ascii="Times New Roman" w:eastAsia="Times New Roman" w:hAnsi="Times New Roman" w:cs="Times New Roman"/>
                <w:b/>
                <w:color w:val="000000"/>
              </w:rPr>
              <w:t xml:space="preserve"> </w:t>
            </w:r>
          </w:p>
          <w:p w:rsidR="00073C0D" w:rsidRPr="00073C0D" w:rsidRDefault="00073C0D" w:rsidP="00073C0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të vonuar</w:t>
            </w:r>
          </w:p>
        </w:tc>
        <w:tc>
          <w:tcPr>
            <w:tcW w:w="1174" w:type="pct"/>
            <w:tcBorders>
              <w:top w:val="single" w:sz="4" w:space="0" w:color="auto"/>
              <w:left w:val="nil"/>
              <w:bottom w:val="single" w:sz="4" w:space="0" w:color="auto"/>
              <w:right w:val="single" w:sz="4" w:space="0" w:color="auto"/>
            </w:tcBorders>
            <w:shd w:val="clear" w:color="auto" w:fill="auto"/>
            <w:vAlign w:val="center"/>
            <w:hideMark/>
          </w:tcPr>
          <w:p w:rsidR="00073C0D" w:rsidRPr="00073C0D" w:rsidRDefault="00073C0D" w:rsidP="00073C0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Gjobë për deklarim të pasaktë</w:t>
            </w:r>
          </w:p>
        </w:tc>
      </w:tr>
      <w:tr w:rsidR="00073C0D" w:rsidRPr="00073C0D" w:rsidTr="00073C0D">
        <w:trPr>
          <w:trHeight w:val="20"/>
        </w:trPr>
        <w:tc>
          <w:tcPr>
            <w:tcW w:w="688" w:type="pct"/>
            <w:tcBorders>
              <w:top w:val="nil"/>
              <w:left w:val="single" w:sz="4" w:space="0" w:color="auto"/>
              <w:bottom w:val="single" w:sz="4" w:space="0" w:color="auto"/>
              <w:right w:val="single" w:sz="4" w:space="0" w:color="auto"/>
            </w:tcBorders>
            <w:shd w:val="clear" w:color="auto" w:fill="auto"/>
            <w:vAlign w:val="center"/>
            <w:hideMark/>
          </w:tcPr>
          <w:p w:rsidR="00073C0D" w:rsidRPr="00073C0D" w:rsidRDefault="00073C0D" w:rsidP="00073C0D">
            <w:pPr>
              <w:widowControl w:val="0"/>
              <w:spacing w:after="0" w:line="276" w:lineRule="auto"/>
              <w:jc w:val="center"/>
              <w:rPr>
                <w:rFonts w:ascii="Times New Roman" w:eastAsia="Times New Roman" w:hAnsi="Times New Roman" w:cs="Times New Roman"/>
                <w:color w:val="000000"/>
              </w:rPr>
            </w:pPr>
            <w:r w:rsidRPr="00073C0D">
              <w:rPr>
                <w:rFonts w:ascii="Times New Roman" w:eastAsia="Times New Roman" w:hAnsi="Times New Roman" w:cs="Times New Roman"/>
                <w:color w:val="000000"/>
              </w:rPr>
              <w:t>TVSH</w:t>
            </w:r>
          </w:p>
        </w:tc>
        <w:tc>
          <w:tcPr>
            <w:tcW w:w="627" w:type="pct"/>
            <w:tcBorders>
              <w:top w:val="nil"/>
              <w:left w:val="nil"/>
              <w:bottom w:val="single" w:sz="4" w:space="0" w:color="auto"/>
              <w:right w:val="single" w:sz="4" w:space="0" w:color="auto"/>
            </w:tcBorders>
            <w:shd w:val="clear" w:color="auto" w:fill="auto"/>
            <w:vAlign w:val="center"/>
            <w:hideMark/>
          </w:tcPr>
          <w:p w:rsidR="00073C0D" w:rsidRPr="00073C0D" w:rsidRDefault="00073C0D" w:rsidP="00073C0D">
            <w:pPr>
              <w:widowControl w:val="0"/>
              <w:spacing w:after="0" w:line="276" w:lineRule="auto"/>
              <w:jc w:val="center"/>
              <w:rPr>
                <w:rFonts w:ascii="Times New Roman" w:eastAsia="Times New Roman" w:hAnsi="Times New Roman" w:cs="Times New Roman"/>
                <w:color w:val="000000"/>
              </w:rPr>
            </w:pPr>
            <w:r w:rsidRPr="00073C0D">
              <w:rPr>
                <w:rFonts w:ascii="Times New Roman" w:eastAsia="Times New Roman" w:hAnsi="Times New Roman" w:cs="Times New Roman"/>
                <w:color w:val="000000"/>
              </w:rPr>
              <w:t>201704</w:t>
            </w:r>
          </w:p>
        </w:tc>
        <w:tc>
          <w:tcPr>
            <w:tcW w:w="705" w:type="pct"/>
            <w:tcBorders>
              <w:top w:val="nil"/>
              <w:left w:val="nil"/>
              <w:bottom w:val="single" w:sz="4" w:space="0" w:color="auto"/>
              <w:right w:val="single" w:sz="4" w:space="0" w:color="auto"/>
            </w:tcBorders>
            <w:shd w:val="clear" w:color="auto" w:fill="auto"/>
            <w:vAlign w:val="center"/>
            <w:hideMark/>
          </w:tcPr>
          <w:p w:rsidR="00073C0D" w:rsidRPr="00073C0D" w:rsidRDefault="00073C0D" w:rsidP="00073C0D">
            <w:pPr>
              <w:widowControl w:val="0"/>
              <w:spacing w:after="0" w:line="276" w:lineRule="auto"/>
              <w:jc w:val="center"/>
              <w:rPr>
                <w:rFonts w:ascii="Times New Roman" w:eastAsia="Times New Roman" w:hAnsi="Times New Roman" w:cs="Times New Roman"/>
                <w:color w:val="000000"/>
              </w:rPr>
            </w:pPr>
            <w:r w:rsidRPr="00073C0D">
              <w:rPr>
                <w:rFonts w:ascii="Times New Roman" w:eastAsia="Times New Roman" w:hAnsi="Times New Roman" w:cs="Times New Roman"/>
                <w:color w:val="000000"/>
              </w:rPr>
              <w:t>702,969</w:t>
            </w:r>
          </w:p>
        </w:tc>
        <w:tc>
          <w:tcPr>
            <w:tcW w:w="706" w:type="pct"/>
            <w:tcBorders>
              <w:top w:val="nil"/>
              <w:left w:val="nil"/>
              <w:bottom w:val="single" w:sz="4" w:space="0" w:color="auto"/>
              <w:right w:val="single" w:sz="4" w:space="0" w:color="auto"/>
            </w:tcBorders>
            <w:shd w:val="clear" w:color="auto" w:fill="auto"/>
            <w:noWrap/>
            <w:vAlign w:val="center"/>
            <w:hideMark/>
          </w:tcPr>
          <w:p w:rsidR="00073C0D" w:rsidRPr="00073C0D" w:rsidRDefault="00073C0D" w:rsidP="00073C0D">
            <w:pPr>
              <w:widowControl w:val="0"/>
              <w:spacing w:after="0" w:line="276" w:lineRule="auto"/>
              <w:jc w:val="center"/>
              <w:rPr>
                <w:rFonts w:ascii="Times New Roman" w:eastAsia="Times New Roman" w:hAnsi="Times New Roman" w:cs="Times New Roman"/>
                <w:color w:val="000000"/>
              </w:rPr>
            </w:pPr>
            <w:r w:rsidRPr="00073C0D">
              <w:rPr>
                <w:rFonts w:ascii="Times New Roman" w:eastAsia="Times New Roman" w:hAnsi="Times New Roman" w:cs="Times New Roman"/>
                <w:color w:val="000000"/>
              </w:rPr>
              <w:t>197,906</w:t>
            </w:r>
          </w:p>
        </w:tc>
        <w:tc>
          <w:tcPr>
            <w:tcW w:w="1100" w:type="pct"/>
            <w:tcBorders>
              <w:top w:val="nil"/>
              <w:left w:val="nil"/>
              <w:bottom w:val="single" w:sz="4" w:space="0" w:color="auto"/>
              <w:right w:val="single" w:sz="4" w:space="0" w:color="auto"/>
            </w:tcBorders>
            <w:shd w:val="clear" w:color="auto" w:fill="auto"/>
            <w:vAlign w:val="center"/>
            <w:hideMark/>
          </w:tcPr>
          <w:p w:rsidR="00073C0D" w:rsidRPr="00073C0D" w:rsidRDefault="00073C0D" w:rsidP="00073C0D">
            <w:pPr>
              <w:widowControl w:val="0"/>
              <w:spacing w:after="0" w:line="276" w:lineRule="auto"/>
              <w:jc w:val="center"/>
              <w:rPr>
                <w:rFonts w:ascii="Times New Roman" w:eastAsia="Times New Roman" w:hAnsi="Times New Roman" w:cs="Times New Roman"/>
                <w:color w:val="000000"/>
              </w:rPr>
            </w:pPr>
            <w:r w:rsidRPr="00073C0D">
              <w:rPr>
                <w:rFonts w:ascii="Times New Roman" w:eastAsia="Times New Roman" w:hAnsi="Times New Roman" w:cs="Times New Roman"/>
                <w:color w:val="000000"/>
              </w:rPr>
              <w:t>153,950</w:t>
            </w:r>
          </w:p>
        </w:tc>
        <w:tc>
          <w:tcPr>
            <w:tcW w:w="1174" w:type="pct"/>
            <w:tcBorders>
              <w:top w:val="nil"/>
              <w:left w:val="nil"/>
              <w:bottom w:val="single" w:sz="4" w:space="0" w:color="auto"/>
              <w:right w:val="single" w:sz="4" w:space="0" w:color="auto"/>
            </w:tcBorders>
            <w:shd w:val="clear" w:color="auto" w:fill="auto"/>
            <w:vAlign w:val="center"/>
            <w:hideMark/>
          </w:tcPr>
          <w:p w:rsidR="00073C0D" w:rsidRPr="00073C0D" w:rsidRDefault="00073C0D" w:rsidP="00073C0D">
            <w:pPr>
              <w:widowControl w:val="0"/>
              <w:spacing w:after="0" w:line="276" w:lineRule="auto"/>
              <w:jc w:val="center"/>
              <w:rPr>
                <w:rFonts w:ascii="Times New Roman" w:eastAsia="Times New Roman" w:hAnsi="Times New Roman" w:cs="Times New Roman"/>
                <w:color w:val="000000"/>
              </w:rPr>
            </w:pPr>
            <w:r w:rsidRPr="00073C0D">
              <w:rPr>
                <w:rFonts w:ascii="Times New Roman" w:eastAsia="Times New Roman" w:hAnsi="Times New Roman" w:cs="Times New Roman"/>
                <w:color w:val="000000"/>
              </w:rPr>
              <w:t>702,968</w:t>
            </w:r>
          </w:p>
        </w:tc>
      </w:tr>
    </w:tbl>
    <w:p w:rsidR="001F1FA3" w:rsidRPr="00073C0D" w:rsidRDefault="001F1FA3" w:rsidP="00073C0D">
      <w:pPr>
        <w:widowControl w:val="0"/>
        <w:spacing w:after="0" w:line="276" w:lineRule="auto"/>
        <w:jc w:val="both"/>
        <w:rPr>
          <w:rFonts w:ascii="Times New Roman" w:hAnsi="Times New Roman"/>
          <w:sz w:val="24"/>
          <w:szCs w:val="24"/>
        </w:rPr>
      </w:pPr>
    </w:p>
    <w:p w:rsidR="001C63D7" w:rsidRPr="00073C0D" w:rsidRDefault="001C63D7" w:rsidP="00073C0D">
      <w:pPr>
        <w:widowControl w:val="0"/>
        <w:spacing w:after="0" w:line="276" w:lineRule="auto"/>
        <w:jc w:val="both"/>
        <w:rPr>
          <w:rFonts w:ascii="Times New Roman" w:hAnsi="Times New Roman"/>
          <w:sz w:val="24"/>
          <w:szCs w:val="24"/>
        </w:rPr>
      </w:pPr>
      <w:r w:rsidRPr="00073C0D">
        <w:rPr>
          <w:rFonts w:ascii="Times New Roman" w:hAnsi="Times New Roman"/>
          <w:sz w:val="24"/>
          <w:szCs w:val="24"/>
        </w:rPr>
        <w:t>Drejtoria e Apelimit Tatimor nga shqyrtimi paraprak i kërkesës për apelim, konstaton se janë plotësuar kërkesat ligjore për marrjen në shqyrtim, kërkesa këto, të përcaktuara në Ligjin Nr.9920 datë 19.05.2008, “Për Procedurat Tatimore në R.SH</w:t>
      </w:r>
      <w:r w:rsidR="00892A94" w:rsidRPr="00073C0D">
        <w:rPr>
          <w:rFonts w:ascii="Times New Roman" w:hAnsi="Times New Roman"/>
          <w:sz w:val="24"/>
          <w:szCs w:val="24"/>
        </w:rPr>
        <w:t>” neni 106, 107 dhe U</w:t>
      </w:r>
      <w:r w:rsidRPr="00073C0D">
        <w:rPr>
          <w:rFonts w:ascii="Times New Roman" w:hAnsi="Times New Roman"/>
          <w:sz w:val="24"/>
          <w:szCs w:val="24"/>
        </w:rPr>
        <w:t>dhëzimin Nr.24, datë 02.09.2008, në zbatim të tij, pika 106 e në vijim:</w:t>
      </w:r>
    </w:p>
    <w:p w:rsidR="001C63D7" w:rsidRPr="00073C0D" w:rsidRDefault="001C63D7" w:rsidP="00073C0D">
      <w:pPr>
        <w:pStyle w:val="ListParagraph"/>
        <w:widowControl w:val="0"/>
        <w:numPr>
          <w:ilvl w:val="0"/>
          <w:numId w:val="27"/>
        </w:numPr>
        <w:spacing w:after="0" w:line="276" w:lineRule="auto"/>
        <w:jc w:val="both"/>
        <w:rPr>
          <w:rFonts w:ascii="Times New Roman" w:hAnsi="Times New Roman"/>
          <w:sz w:val="24"/>
          <w:szCs w:val="24"/>
        </w:rPr>
      </w:pPr>
      <w:r w:rsidRPr="00073C0D">
        <w:rPr>
          <w:rFonts w:ascii="Times New Roman" w:hAnsi="Times New Roman"/>
          <w:sz w:val="24"/>
          <w:szCs w:val="24"/>
        </w:rPr>
        <w:t>Akti administrativ i ankimuar është objekt apelimi (neni</w:t>
      </w:r>
      <w:r w:rsidR="00073C0D" w:rsidRPr="00073C0D">
        <w:rPr>
          <w:rFonts w:ascii="Times New Roman" w:hAnsi="Times New Roman"/>
          <w:sz w:val="24"/>
          <w:szCs w:val="24"/>
        </w:rPr>
        <w:t xml:space="preserve"> 106 pika 1)</w:t>
      </w:r>
    </w:p>
    <w:p w:rsidR="001C63D7" w:rsidRPr="00073C0D" w:rsidRDefault="003D2457" w:rsidP="00073C0D">
      <w:pPr>
        <w:pStyle w:val="ListParagraph"/>
        <w:widowControl w:val="0"/>
        <w:numPr>
          <w:ilvl w:val="0"/>
          <w:numId w:val="27"/>
        </w:numPr>
        <w:spacing w:after="0" w:line="276" w:lineRule="auto"/>
        <w:jc w:val="both"/>
        <w:rPr>
          <w:rFonts w:ascii="Times New Roman" w:hAnsi="Times New Roman"/>
          <w:sz w:val="24"/>
          <w:szCs w:val="24"/>
        </w:rPr>
      </w:pPr>
      <w:r w:rsidRPr="00073C0D">
        <w:rPr>
          <w:rFonts w:ascii="Times New Roman" w:hAnsi="Times New Roman"/>
          <w:sz w:val="24"/>
          <w:szCs w:val="24"/>
        </w:rPr>
        <w:t>Kërkesa për apelim është paraqitur brenda afatit ligjor 30 ditë kalendarike.</w:t>
      </w:r>
    </w:p>
    <w:p w:rsidR="001C63D7" w:rsidRPr="00073C0D" w:rsidRDefault="001C63D7" w:rsidP="00073C0D">
      <w:pPr>
        <w:pStyle w:val="ListParagraph"/>
        <w:widowControl w:val="0"/>
        <w:numPr>
          <w:ilvl w:val="0"/>
          <w:numId w:val="27"/>
        </w:numPr>
        <w:spacing w:after="0" w:line="276" w:lineRule="auto"/>
        <w:jc w:val="both"/>
        <w:rPr>
          <w:rFonts w:ascii="Times New Roman" w:hAnsi="Times New Roman"/>
          <w:sz w:val="24"/>
          <w:szCs w:val="24"/>
        </w:rPr>
      </w:pPr>
      <w:r w:rsidRPr="00073C0D">
        <w:rPr>
          <w:rFonts w:ascii="Times New Roman" w:hAnsi="Times New Roman"/>
          <w:sz w:val="24"/>
          <w:szCs w:val="24"/>
        </w:rPr>
        <w:t>Lidhur me kërkesën për pagimin e detyrimit tatimor, objekt ankimi, konstatojmë se</w:t>
      </w:r>
      <w:r w:rsidR="00664468" w:rsidRPr="00073C0D">
        <w:rPr>
          <w:rFonts w:ascii="Times New Roman" w:hAnsi="Times New Roman"/>
          <w:sz w:val="24"/>
          <w:szCs w:val="24"/>
        </w:rPr>
        <w:t xml:space="preserve"> detyrimet e njoftuara me </w:t>
      </w:r>
      <w:r w:rsidRPr="00073C0D">
        <w:rPr>
          <w:rFonts w:ascii="Times New Roman" w:hAnsi="Times New Roman"/>
          <w:sz w:val="24"/>
          <w:szCs w:val="24"/>
        </w:rPr>
        <w:t>Njoftim Vlerësimi</w:t>
      </w:r>
      <w:r w:rsidR="00664468" w:rsidRPr="00073C0D">
        <w:rPr>
          <w:rFonts w:ascii="Times New Roman" w:hAnsi="Times New Roman"/>
          <w:sz w:val="24"/>
          <w:szCs w:val="24"/>
        </w:rPr>
        <w:t xml:space="preserve">n për detyrimet janë  </w:t>
      </w:r>
      <w:r w:rsidR="00C51401" w:rsidRPr="00073C0D">
        <w:rPr>
          <w:rFonts w:ascii="Times New Roman" w:hAnsi="Times New Roman"/>
          <w:sz w:val="24"/>
          <w:szCs w:val="24"/>
        </w:rPr>
        <w:t xml:space="preserve">paguar </w:t>
      </w:r>
      <w:r w:rsidR="006F4335" w:rsidRPr="00073C0D">
        <w:rPr>
          <w:rFonts w:ascii="Times New Roman" w:hAnsi="Times New Roman"/>
          <w:sz w:val="24"/>
          <w:szCs w:val="24"/>
        </w:rPr>
        <w:t xml:space="preserve">brenda afatit </w:t>
      </w:r>
      <w:r w:rsidR="00664468" w:rsidRPr="00073C0D">
        <w:rPr>
          <w:rFonts w:ascii="Times New Roman" w:hAnsi="Times New Roman"/>
          <w:sz w:val="24"/>
          <w:szCs w:val="24"/>
        </w:rPr>
        <w:t>ligjor</w:t>
      </w:r>
      <w:r w:rsidR="001F5C80" w:rsidRPr="00073C0D">
        <w:rPr>
          <w:rFonts w:ascii="Times New Roman" w:hAnsi="Times New Roman"/>
          <w:sz w:val="24"/>
          <w:szCs w:val="24"/>
        </w:rPr>
        <w:t xml:space="preserve">, </w:t>
      </w:r>
      <w:r w:rsidR="00613C22" w:rsidRPr="00073C0D">
        <w:rPr>
          <w:rFonts w:ascii="Times New Roman" w:hAnsi="Times New Roman"/>
          <w:sz w:val="24"/>
          <w:szCs w:val="24"/>
        </w:rPr>
        <w:t>n</w:t>
      </w:r>
      <w:r w:rsidR="00AC10AB" w:rsidRPr="00073C0D">
        <w:rPr>
          <w:rFonts w:ascii="Times New Roman" w:hAnsi="Times New Roman"/>
          <w:sz w:val="24"/>
          <w:szCs w:val="24"/>
        </w:rPr>
        <w:t>ë</w:t>
      </w:r>
      <w:r w:rsidR="00613C22" w:rsidRPr="00073C0D">
        <w:rPr>
          <w:rFonts w:ascii="Times New Roman" w:hAnsi="Times New Roman"/>
          <w:sz w:val="24"/>
          <w:szCs w:val="24"/>
        </w:rPr>
        <w:t xml:space="preserve"> </w:t>
      </w:r>
      <w:r w:rsidR="001F5C80" w:rsidRPr="00073C0D">
        <w:rPr>
          <w:rFonts w:ascii="Times New Roman" w:hAnsi="Times New Roman"/>
          <w:sz w:val="24"/>
          <w:szCs w:val="24"/>
        </w:rPr>
        <w:t xml:space="preserve">datë </w:t>
      </w:r>
      <w:r w:rsidR="004B5104" w:rsidRPr="00073C0D">
        <w:rPr>
          <w:rFonts w:ascii="Times New Roman" w:hAnsi="Times New Roman"/>
          <w:sz w:val="24"/>
          <w:szCs w:val="24"/>
        </w:rPr>
        <w:t>29.03.2022</w:t>
      </w:r>
      <w:r w:rsidR="00613C22" w:rsidRPr="00073C0D">
        <w:rPr>
          <w:rFonts w:ascii="Times New Roman" w:hAnsi="Times New Roman"/>
          <w:sz w:val="24"/>
          <w:szCs w:val="24"/>
        </w:rPr>
        <w:t>, referuar urdh</w:t>
      </w:r>
      <w:r w:rsidR="00AC10AB" w:rsidRPr="00073C0D">
        <w:rPr>
          <w:rFonts w:ascii="Times New Roman" w:hAnsi="Times New Roman"/>
          <w:sz w:val="24"/>
          <w:szCs w:val="24"/>
        </w:rPr>
        <w:t>ë</w:t>
      </w:r>
      <w:r w:rsidR="00613C22" w:rsidRPr="00073C0D">
        <w:rPr>
          <w:rFonts w:ascii="Times New Roman" w:hAnsi="Times New Roman"/>
          <w:sz w:val="24"/>
          <w:szCs w:val="24"/>
        </w:rPr>
        <w:t>r pagesave bashk</w:t>
      </w:r>
      <w:r w:rsidR="00AC10AB" w:rsidRPr="00073C0D">
        <w:rPr>
          <w:rFonts w:ascii="Times New Roman" w:hAnsi="Times New Roman"/>
          <w:sz w:val="24"/>
          <w:szCs w:val="24"/>
        </w:rPr>
        <w:t>ë</w:t>
      </w:r>
      <w:r w:rsidR="00613C22" w:rsidRPr="00073C0D">
        <w:rPr>
          <w:rFonts w:ascii="Times New Roman" w:hAnsi="Times New Roman"/>
          <w:sz w:val="24"/>
          <w:szCs w:val="24"/>
        </w:rPr>
        <w:t>lidhur ankimit</w:t>
      </w:r>
      <w:r w:rsidR="006F4335" w:rsidRPr="00073C0D">
        <w:rPr>
          <w:rFonts w:ascii="Times New Roman" w:hAnsi="Times New Roman"/>
          <w:sz w:val="24"/>
          <w:szCs w:val="24"/>
        </w:rPr>
        <w:t xml:space="preserve">. </w:t>
      </w:r>
    </w:p>
    <w:p w:rsidR="00073C0D" w:rsidRPr="00073C0D" w:rsidRDefault="00073C0D" w:rsidP="00073C0D">
      <w:pPr>
        <w:widowControl w:val="0"/>
        <w:spacing w:after="0" w:line="276" w:lineRule="auto"/>
        <w:jc w:val="both"/>
        <w:rPr>
          <w:rFonts w:ascii="Times New Roman" w:hAnsi="Times New Roman" w:cs="Times New Roman"/>
          <w:sz w:val="24"/>
          <w:szCs w:val="24"/>
        </w:rPr>
      </w:pPr>
    </w:p>
    <w:p w:rsidR="00820F92" w:rsidRPr="00073C0D" w:rsidRDefault="00820F92" w:rsidP="00073C0D">
      <w:pPr>
        <w:widowControl w:val="0"/>
        <w:spacing w:after="0" w:line="276" w:lineRule="auto"/>
        <w:jc w:val="both"/>
        <w:rPr>
          <w:rFonts w:ascii="Times New Roman" w:hAnsi="Times New Roman" w:cs="Times New Roman"/>
          <w:sz w:val="24"/>
          <w:szCs w:val="24"/>
        </w:rPr>
      </w:pPr>
      <w:r w:rsidRPr="00073C0D">
        <w:rPr>
          <w:rFonts w:ascii="Times New Roman" w:hAnsi="Times New Roman" w:cs="Times New Roman"/>
          <w:sz w:val="24"/>
          <w:szCs w:val="24"/>
        </w:rPr>
        <w:t>Në kërkesën ankimore, tatimpaguesi ka kërkuar të jetë i pranishëm gjatë shqyrtimit të ankimit, në zbatim të pikës 108.4 të Udhëzimit nr. 24, datë 02.09.2008, ku përcaktohet se “</w:t>
      </w:r>
      <w:r w:rsidRPr="00073C0D">
        <w:rPr>
          <w:rFonts w:ascii="Times New Roman" w:hAnsi="Times New Roman" w:cs="Times New Roman"/>
          <w:i/>
          <w:sz w:val="24"/>
          <w:szCs w:val="24"/>
        </w:rPr>
        <w:t>Ankimuesi ka të drejtë nese e kërkon, të paraqitet vetë ose me përfaqësues në Drejtorinë e Apelimit Tatimor ose komisionit për të dhënë argumente dhe sqarime që ndihmojnë në trajtimin dhe zgjidhjen e drejtë të akimimit</w:t>
      </w:r>
      <w:r w:rsidRPr="00073C0D">
        <w:rPr>
          <w:rFonts w:ascii="Times New Roman" w:hAnsi="Times New Roman" w:cs="Times New Roman"/>
          <w:sz w:val="24"/>
          <w:szCs w:val="24"/>
        </w:rPr>
        <w:t>”. Drejtoria e Apelimit Tatimor, ka njoftuar tatimpaguesin për takimin, i cili është realizuar në am</w:t>
      </w:r>
      <w:r w:rsidR="00073C0D" w:rsidRPr="00073C0D">
        <w:rPr>
          <w:rFonts w:ascii="Times New Roman" w:hAnsi="Times New Roman" w:cs="Times New Roman"/>
          <w:sz w:val="24"/>
          <w:szCs w:val="24"/>
        </w:rPr>
        <w:t>bi</w:t>
      </w:r>
      <w:r w:rsidRPr="00073C0D">
        <w:rPr>
          <w:rFonts w:ascii="Times New Roman" w:hAnsi="Times New Roman" w:cs="Times New Roman"/>
          <w:sz w:val="24"/>
          <w:szCs w:val="24"/>
        </w:rPr>
        <w:t>entet e DAT.</w:t>
      </w:r>
    </w:p>
    <w:p w:rsidR="004B5104" w:rsidRPr="00073C0D" w:rsidRDefault="004B5104" w:rsidP="00073C0D">
      <w:pPr>
        <w:widowControl w:val="0"/>
        <w:spacing w:after="0" w:line="276" w:lineRule="auto"/>
        <w:jc w:val="both"/>
        <w:rPr>
          <w:rFonts w:ascii="Times New Roman" w:hAnsi="Times New Roman"/>
          <w:sz w:val="24"/>
          <w:szCs w:val="24"/>
        </w:rPr>
      </w:pPr>
    </w:p>
    <w:p w:rsidR="00835CD2" w:rsidRPr="00073C0D" w:rsidRDefault="00835CD2" w:rsidP="00073C0D">
      <w:pPr>
        <w:widowControl w:val="0"/>
        <w:spacing w:after="0" w:line="276" w:lineRule="auto"/>
        <w:jc w:val="both"/>
        <w:rPr>
          <w:rFonts w:ascii="Times New Roman" w:hAnsi="Times New Roman"/>
          <w:sz w:val="24"/>
          <w:szCs w:val="24"/>
        </w:rPr>
      </w:pPr>
      <w:r w:rsidRPr="00073C0D">
        <w:rPr>
          <w:rFonts w:ascii="Times New Roman" w:hAnsi="Times New Roman"/>
          <w:sz w:val="24"/>
          <w:szCs w:val="24"/>
        </w:rPr>
        <w:t xml:space="preserve">Drejtoria e Apelimit Tatimor pasi shqyrtoi me hollësi dhe objektivitet kërkesen për apelim të subjektit dhe argumentat e parashtruara në të, dokumentacionin e të gjithë procedurave dhe praktikës së kontrollit </w:t>
      </w:r>
      <w:r w:rsidR="008B7B3B" w:rsidRPr="00073C0D">
        <w:rPr>
          <w:rFonts w:ascii="Times New Roman" w:hAnsi="Times New Roman"/>
          <w:sz w:val="24"/>
          <w:szCs w:val="24"/>
        </w:rPr>
        <w:t xml:space="preserve">nga zyra </w:t>
      </w:r>
      <w:r w:rsidRPr="00073C0D">
        <w:rPr>
          <w:rFonts w:ascii="Times New Roman" w:hAnsi="Times New Roman"/>
          <w:sz w:val="24"/>
          <w:szCs w:val="24"/>
        </w:rPr>
        <w:t>deri në nxjerrjen e aktit zyrtar për detyrimet, në respektim të kërkesave të Nenit 108 “Kompetencat për shqyrtimin e Ankimit Tatimor” të Ligjit nr. 9920, datë 19.05.2008 “Për Procedurat Tatimore në R.Sh”, konstaton se:</w:t>
      </w:r>
    </w:p>
    <w:p w:rsidR="00E91185" w:rsidRPr="00073C0D" w:rsidRDefault="00E91185" w:rsidP="00073C0D">
      <w:pPr>
        <w:pStyle w:val="Header"/>
        <w:widowControl w:val="0"/>
        <w:tabs>
          <w:tab w:val="left" w:pos="720"/>
        </w:tabs>
        <w:spacing w:line="276" w:lineRule="auto"/>
        <w:jc w:val="both"/>
        <w:rPr>
          <w:rFonts w:ascii="Times New Roman" w:hAnsi="Times New Roman" w:cs="Times New Roman"/>
          <w:bCs/>
          <w:sz w:val="24"/>
          <w:szCs w:val="24"/>
        </w:rPr>
      </w:pPr>
    </w:p>
    <w:p w:rsidR="00753F88" w:rsidRPr="00073C0D" w:rsidRDefault="00753F88" w:rsidP="00073C0D">
      <w:pPr>
        <w:widowControl w:val="0"/>
        <w:shd w:val="clear" w:color="auto" w:fill="FFFFFF"/>
        <w:spacing w:after="0" w:line="276" w:lineRule="auto"/>
        <w:jc w:val="both"/>
        <w:rPr>
          <w:rFonts w:ascii="Times New Roman" w:hAnsi="Times New Roman" w:cs="Times New Roman"/>
          <w:sz w:val="24"/>
          <w:szCs w:val="24"/>
          <w:shd w:val="clear" w:color="auto" w:fill="FFFFFF"/>
        </w:rPr>
      </w:pPr>
      <w:r w:rsidRPr="00073C0D">
        <w:rPr>
          <w:rFonts w:ascii="Times New Roman" w:hAnsi="Times New Roman" w:cs="Times New Roman"/>
          <w:sz w:val="24"/>
          <w:szCs w:val="24"/>
          <w:shd w:val="clear" w:color="auto" w:fill="FFFFFF"/>
        </w:rPr>
        <w:lastRenderedPageBreak/>
        <w:t xml:space="preserve">Për tatimpaguesin </w:t>
      </w:r>
      <w:r w:rsidR="004B5104" w:rsidRPr="00073C0D">
        <w:rPr>
          <w:rFonts w:ascii="Times New Roman" w:hAnsi="Times New Roman" w:cs="Times New Roman"/>
          <w:sz w:val="24"/>
          <w:szCs w:val="24"/>
          <w:shd w:val="clear" w:color="auto" w:fill="FFFFFF"/>
        </w:rPr>
        <w:t xml:space="preserve">është kryer një </w:t>
      </w:r>
      <w:r w:rsidRPr="00073C0D">
        <w:rPr>
          <w:rFonts w:ascii="Times New Roman" w:hAnsi="Times New Roman" w:cs="Times New Roman"/>
          <w:sz w:val="24"/>
          <w:szCs w:val="24"/>
          <w:shd w:val="clear" w:color="auto" w:fill="FFFFFF"/>
        </w:rPr>
        <w:t>Akt Verifikimi nga Zyra. Për vitin 2017 tatimpaguesi ka deklaruar të ardhura në deklaratën e tatim fitimit të</w:t>
      </w:r>
      <w:r w:rsidR="007C1D65" w:rsidRPr="00073C0D">
        <w:rPr>
          <w:rFonts w:ascii="Times New Roman" w:hAnsi="Times New Roman" w:cs="Times New Roman"/>
          <w:sz w:val="24"/>
          <w:szCs w:val="24"/>
          <w:shd w:val="clear" w:color="auto" w:fill="FFFFFF"/>
        </w:rPr>
        <w:t xml:space="preserve"> t</w:t>
      </w:r>
      <w:r w:rsidRPr="00073C0D">
        <w:rPr>
          <w:rFonts w:ascii="Times New Roman" w:hAnsi="Times New Roman" w:cs="Times New Roman"/>
          <w:sz w:val="24"/>
          <w:szCs w:val="24"/>
          <w:shd w:val="clear" w:color="auto" w:fill="FFFFFF"/>
        </w:rPr>
        <w:t>hjeshtuar dhe në TVSH  sa më poshtë:</w:t>
      </w:r>
    </w:p>
    <w:p w:rsidR="00073C0D" w:rsidRPr="00073C0D" w:rsidRDefault="00073C0D" w:rsidP="00073C0D">
      <w:pPr>
        <w:widowControl w:val="0"/>
        <w:shd w:val="clear" w:color="auto" w:fill="FFFFFF"/>
        <w:spacing w:after="0" w:line="276" w:lineRule="auto"/>
        <w:jc w:val="both"/>
        <w:rPr>
          <w:rFonts w:ascii="Times New Roman" w:hAnsi="Times New Roman" w:cs="Times New Roman"/>
          <w:sz w:val="24"/>
          <w:szCs w:val="24"/>
          <w:shd w:val="clear" w:color="auto" w:fill="FFFFFF"/>
        </w:rPr>
      </w:pPr>
    </w:p>
    <w:tbl>
      <w:tblPr>
        <w:tblW w:w="5000" w:type="pct"/>
        <w:tblLayout w:type="fixed"/>
        <w:tblLook w:val="04A0" w:firstRow="1" w:lastRow="0" w:firstColumn="1" w:lastColumn="0" w:noHBand="0" w:noVBand="1"/>
      </w:tblPr>
      <w:tblGrid>
        <w:gridCol w:w="674"/>
        <w:gridCol w:w="710"/>
        <w:gridCol w:w="1418"/>
        <w:gridCol w:w="1701"/>
        <w:gridCol w:w="1701"/>
        <w:gridCol w:w="1630"/>
        <w:gridCol w:w="1409"/>
      </w:tblGrid>
      <w:tr w:rsidR="00E419A3" w:rsidRPr="00073C0D" w:rsidTr="00073C0D">
        <w:trPr>
          <w:trHeight w:val="25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D65" w:rsidRPr="00073C0D" w:rsidRDefault="007C1D65"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Nr</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7C1D65" w:rsidRPr="00073C0D" w:rsidRDefault="007C1D65"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Viti</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7C1D65" w:rsidRPr="00073C0D" w:rsidRDefault="007C1D65"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Xhiro TVSH</w:t>
            </w:r>
          </w:p>
        </w:tc>
        <w:tc>
          <w:tcPr>
            <w:tcW w:w="920" w:type="pct"/>
            <w:tcBorders>
              <w:top w:val="single" w:sz="4" w:space="0" w:color="auto"/>
              <w:left w:val="nil"/>
              <w:bottom w:val="single" w:sz="4" w:space="0" w:color="auto"/>
              <w:right w:val="single" w:sz="4" w:space="0" w:color="auto"/>
            </w:tcBorders>
            <w:shd w:val="clear" w:color="auto" w:fill="auto"/>
            <w:noWrap/>
            <w:vAlign w:val="bottom"/>
            <w:hideMark/>
          </w:tcPr>
          <w:p w:rsidR="007C1D65" w:rsidRPr="00073C0D" w:rsidRDefault="007C1D65"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Te Ardhura deklaruar TF</w:t>
            </w:r>
          </w:p>
        </w:tc>
        <w:tc>
          <w:tcPr>
            <w:tcW w:w="920" w:type="pct"/>
            <w:tcBorders>
              <w:top w:val="single" w:sz="4" w:space="0" w:color="auto"/>
              <w:left w:val="nil"/>
              <w:bottom w:val="single" w:sz="4" w:space="0" w:color="auto"/>
              <w:right w:val="single" w:sz="4" w:space="0" w:color="auto"/>
            </w:tcBorders>
            <w:shd w:val="clear" w:color="auto" w:fill="auto"/>
            <w:noWrap/>
            <w:vAlign w:val="bottom"/>
            <w:hideMark/>
          </w:tcPr>
          <w:p w:rsidR="007C1D65" w:rsidRPr="00073C0D" w:rsidRDefault="007C1D65"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Te ardhura deklaruar TTHF</w:t>
            </w:r>
          </w:p>
        </w:tc>
        <w:tc>
          <w:tcPr>
            <w:tcW w:w="882" w:type="pct"/>
            <w:tcBorders>
              <w:top w:val="single" w:sz="4" w:space="0" w:color="auto"/>
              <w:left w:val="nil"/>
              <w:bottom w:val="single" w:sz="4" w:space="0" w:color="auto"/>
              <w:right w:val="single" w:sz="4" w:space="0" w:color="auto"/>
            </w:tcBorders>
            <w:shd w:val="clear" w:color="auto" w:fill="auto"/>
            <w:noWrap/>
            <w:vAlign w:val="bottom"/>
            <w:hideMark/>
          </w:tcPr>
          <w:p w:rsidR="007C1D65" w:rsidRPr="00073C0D" w:rsidRDefault="007C1D65"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Shuma te ardhura</w:t>
            </w:r>
          </w:p>
        </w:tc>
        <w:tc>
          <w:tcPr>
            <w:tcW w:w="762" w:type="pct"/>
            <w:tcBorders>
              <w:top w:val="single" w:sz="4" w:space="0" w:color="auto"/>
              <w:left w:val="nil"/>
              <w:bottom w:val="single" w:sz="4" w:space="0" w:color="auto"/>
              <w:right w:val="single" w:sz="4" w:space="0" w:color="auto"/>
            </w:tcBorders>
            <w:shd w:val="clear" w:color="auto" w:fill="auto"/>
            <w:noWrap/>
            <w:vAlign w:val="bottom"/>
            <w:hideMark/>
          </w:tcPr>
          <w:p w:rsidR="007C1D65" w:rsidRPr="00073C0D" w:rsidRDefault="007C1D65"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Diferenca</w:t>
            </w:r>
          </w:p>
        </w:tc>
      </w:tr>
      <w:tr w:rsidR="007C1D65" w:rsidRPr="00073C0D" w:rsidTr="00073C0D">
        <w:trPr>
          <w:trHeight w:val="25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7C1D65" w:rsidRPr="00073C0D" w:rsidRDefault="007C1D65" w:rsidP="00073C0D">
            <w:pPr>
              <w:widowControl w:val="0"/>
              <w:spacing w:after="0" w:line="276" w:lineRule="auto"/>
              <w:jc w:val="right"/>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1</w:t>
            </w:r>
          </w:p>
        </w:tc>
        <w:tc>
          <w:tcPr>
            <w:tcW w:w="384" w:type="pct"/>
            <w:tcBorders>
              <w:top w:val="nil"/>
              <w:left w:val="nil"/>
              <w:bottom w:val="single" w:sz="4" w:space="0" w:color="auto"/>
              <w:right w:val="single" w:sz="4" w:space="0" w:color="auto"/>
            </w:tcBorders>
            <w:shd w:val="clear" w:color="auto" w:fill="auto"/>
            <w:noWrap/>
            <w:vAlign w:val="bottom"/>
            <w:hideMark/>
          </w:tcPr>
          <w:p w:rsidR="007C1D65" w:rsidRPr="00073C0D" w:rsidRDefault="007C1D65" w:rsidP="00073C0D">
            <w:pPr>
              <w:widowControl w:val="0"/>
              <w:spacing w:after="0" w:line="276" w:lineRule="auto"/>
              <w:jc w:val="right"/>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2017</w:t>
            </w:r>
          </w:p>
        </w:tc>
        <w:tc>
          <w:tcPr>
            <w:tcW w:w="767" w:type="pct"/>
            <w:tcBorders>
              <w:top w:val="nil"/>
              <w:left w:val="nil"/>
              <w:bottom w:val="single" w:sz="4" w:space="0" w:color="auto"/>
              <w:right w:val="single" w:sz="4" w:space="0" w:color="auto"/>
            </w:tcBorders>
            <w:shd w:val="clear" w:color="auto" w:fill="auto"/>
            <w:noWrap/>
            <w:vAlign w:val="bottom"/>
            <w:hideMark/>
          </w:tcPr>
          <w:p w:rsidR="007C1D65" w:rsidRPr="00073C0D" w:rsidRDefault="007C1D65"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4,759,374 </w:t>
            </w:r>
          </w:p>
        </w:tc>
        <w:tc>
          <w:tcPr>
            <w:tcW w:w="920" w:type="pct"/>
            <w:tcBorders>
              <w:top w:val="nil"/>
              <w:left w:val="nil"/>
              <w:bottom w:val="single" w:sz="4" w:space="0" w:color="auto"/>
              <w:right w:val="single" w:sz="4" w:space="0" w:color="auto"/>
            </w:tcBorders>
            <w:shd w:val="clear" w:color="auto" w:fill="auto"/>
            <w:noWrap/>
            <w:vAlign w:val="bottom"/>
            <w:hideMark/>
          </w:tcPr>
          <w:p w:rsidR="007C1D65" w:rsidRPr="00073C0D" w:rsidRDefault="007C1D65"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11,683,763 </w:t>
            </w:r>
          </w:p>
        </w:tc>
        <w:tc>
          <w:tcPr>
            <w:tcW w:w="920" w:type="pct"/>
            <w:tcBorders>
              <w:top w:val="nil"/>
              <w:left w:val="nil"/>
              <w:bottom w:val="single" w:sz="4" w:space="0" w:color="auto"/>
              <w:right w:val="single" w:sz="4" w:space="0" w:color="auto"/>
            </w:tcBorders>
            <w:shd w:val="clear" w:color="auto" w:fill="auto"/>
            <w:noWrap/>
            <w:vAlign w:val="bottom"/>
            <w:hideMark/>
          </w:tcPr>
          <w:p w:rsidR="007C1D65" w:rsidRPr="00073C0D" w:rsidRDefault="007C1D65"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1,126,602 </w:t>
            </w:r>
          </w:p>
        </w:tc>
        <w:tc>
          <w:tcPr>
            <w:tcW w:w="882" w:type="pct"/>
            <w:tcBorders>
              <w:top w:val="nil"/>
              <w:left w:val="nil"/>
              <w:bottom w:val="single" w:sz="4" w:space="0" w:color="auto"/>
              <w:right w:val="single" w:sz="4" w:space="0" w:color="auto"/>
            </w:tcBorders>
            <w:shd w:val="clear" w:color="auto" w:fill="auto"/>
            <w:noWrap/>
            <w:vAlign w:val="bottom"/>
            <w:hideMark/>
          </w:tcPr>
          <w:p w:rsidR="007C1D65" w:rsidRPr="00073C0D" w:rsidRDefault="007C1D65"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12,810,365 </w:t>
            </w:r>
          </w:p>
        </w:tc>
        <w:tc>
          <w:tcPr>
            <w:tcW w:w="762" w:type="pct"/>
            <w:tcBorders>
              <w:top w:val="nil"/>
              <w:left w:val="nil"/>
              <w:bottom w:val="single" w:sz="4" w:space="0" w:color="auto"/>
              <w:right w:val="single" w:sz="4" w:space="0" w:color="auto"/>
            </w:tcBorders>
            <w:shd w:val="clear" w:color="auto" w:fill="auto"/>
            <w:noWrap/>
            <w:vAlign w:val="bottom"/>
            <w:hideMark/>
          </w:tcPr>
          <w:p w:rsidR="007C1D65" w:rsidRPr="00073C0D" w:rsidRDefault="007C1D65"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(8,050,991)</w:t>
            </w:r>
          </w:p>
        </w:tc>
      </w:tr>
    </w:tbl>
    <w:p w:rsidR="00E419A3" w:rsidRPr="00073C0D" w:rsidRDefault="00E419A3" w:rsidP="00073C0D">
      <w:pPr>
        <w:widowControl w:val="0"/>
        <w:shd w:val="clear" w:color="auto" w:fill="FFFFFF"/>
        <w:spacing w:after="0" w:line="276" w:lineRule="auto"/>
        <w:jc w:val="both"/>
        <w:rPr>
          <w:rFonts w:ascii="Times New Roman" w:hAnsi="Times New Roman" w:cs="Times New Roman"/>
          <w:sz w:val="24"/>
          <w:szCs w:val="24"/>
          <w:shd w:val="clear" w:color="auto" w:fill="FFFFFF"/>
        </w:rPr>
      </w:pPr>
    </w:p>
    <w:p w:rsidR="007C1D65" w:rsidRPr="00073C0D" w:rsidRDefault="007C1D65" w:rsidP="00073C0D">
      <w:pPr>
        <w:widowControl w:val="0"/>
        <w:shd w:val="clear" w:color="auto" w:fill="FFFFFF"/>
        <w:spacing w:after="0" w:line="276" w:lineRule="auto"/>
        <w:jc w:val="both"/>
        <w:rPr>
          <w:rFonts w:ascii="Times New Roman" w:hAnsi="Times New Roman" w:cs="Times New Roman"/>
          <w:sz w:val="24"/>
          <w:szCs w:val="24"/>
          <w:shd w:val="clear" w:color="auto" w:fill="FFFFFF"/>
        </w:rPr>
      </w:pPr>
      <w:r w:rsidRPr="00073C0D">
        <w:rPr>
          <w:rFonts w:ascii="Times New Roman" w:hAnsi="Times New Roman" w:cs="Times New Roman"/>
          <w:sz w:val="24"/>
          <w:szCs w:val="24"/>
          <w:shd w:val="clear" w:color="auto" w:fill="FFFFFF"/>
        </w:rPr>
        <w:t>Blerjet për periudhën janar prill 2017 në vlerën 5.701.740 lekë të detajuara në blerje të përjashtuara në vlerën 4.839.723 lekë dhe blerje nga furnitorë vendas në vlerën 862.017 lekë.</w:t>
      </w:r>
    </w:p>
    <w:p w:rsidR="007C1D65" w:rsidRPr="00073C0D" w:rsidRDefault="007C1D65" w:rsidP="00073C0D">
      <w:pPr>
        <w:widowControl w:val="0"/>
        <w:shd w:val="clear" w:color="auto" w:fill="FFFFFF"/>
        <w:spacing w:after="0" w:line="276" w:lineRule="auto"/>
        <w:jc w:val="both"/>
        <w:rPr>
          <w:rFonts w:ascii="Times New Roman" w:hAnsi="Times New Roman" w:cs="Times New Roman"/>
          <w:sz w:val="24"/>
          <w:szCs w:val="24"/>
          <w:shd w:val="clear" w:color="auto" w:fill="FFFFFF"/>
        </w:rPr>
      </w:pPr>
      <w:r w:rsidRPr="00073C0D">
        <w:rPr>
          <w:rFonts w:ascii="Times New Roman" w:hAnsi="Times New Roman" w:cs="Times New Roman"/>
          <w:sz w:val="24"/>
          <w:szCs w:val="24"/>
          <w:shd w:val="clear" w:color="auto" w:fill="FFFFFF"/>
        </w:rPr>
        <w:t>Inventari i datës 01.01.2017 është:</w:t>
      </w:r>
    </w:p>
    <w:p w:rsidR="007C1D65" w:rsidRPr="00073C0D" w:rsidRDefault="007C1D65" w:rsidP="00073C0D">
      <w:pPr>
        <w:widowControl w:val="0"/>
        <w:shd w:val="clear" w:color="auto" w:fill="FFFFFF"/>
        <w:spacing w:after="0" w:line="276" w:lineRule="auto"/>
        <w:jc w:val="both"/>
        <w:rPr>
          <w:rFonts w:ascii="Times New Roman" w:hAnsi="Times New Roman" w:cs="Times New Roman"/>
          <w:sz w:val="24"/>
          <w:szCs w:val="24"/>
          <w:shd w:val="clear" w:color="auto" w:fill="FFFFFF"/>
        </w:rPr>
      </w:pPr>
      <w:r w:rsidRPr="00073C0D">
        <w:rPr>
          <w:rFonts w:ascii="Times New Roman" w:hAnsi="Times New Roman" w:cs="Times New Roman"/>
          <w:sz w:val="24"/>
          <w:szCs w:val="24"/>
          <w:shd w:val="clear" w:color="auto" w:fill="FFFFFF"/>
        </w:rPr>
        <w:tab/>
        <w:t>Medikamente me TVSH-0% = 3.878.104 lekë</w:t>
      </w:r>
    </w:p>
    <w:p w:rsidR="007C1D65" w:rsidRPr="00073C0D" w:rsidRDefault="007C1D65" w:rsidP="00073C0D">
      <w:pPr>
        <w:widowControl w:val="0"/>
        <w:shd w:val="clear" w:color="auto" w:fill="FFFFFF"/>
        <w:spacing w:after="0" w:line="276" w:lineRule="auto"/>
        <w:jc w:val="both"/>
        <w:rPr>
          <w:rFonts w:ascii="Times New Roman" w:hAnsi="Times New Roman" w:cs="Times New Roman"/>
          <w:sz w:val="24"/>
          <w:szCs w:val="24"/>
          <w:shd w:val="clear" w:color="auto" w:fill="FFFFFF"/>
        </w:rPr>
      </w:pPr>
      <w:r w:rsidRPr="00073C0D">
        <w:rPr>
          <w:rFonts w:ascii="Times New Roman" w:hAnsi="Times New Roman" w:cs="Times New Roman"/>
          <w:sz w:val="24"/>
          <w:szCs w:val="24"/>
          <w:shd w:val="clear" w:color="auto" w:fill="FFFFFF"/>
        </w:rPr>
        <w:tab/>
        <w:t>Medikamente me TVSH-20%=2.455.016 lekë</w:t>
      </w:r>
    </w:p>
    <w:p w:rsidR="007C1D65" w:rsidRPr="00073C0D" w:rsidRDefault="007C1D65" w:rsidP="00073C0D">
      <w:pPr>
        <w:widowControl w:val="0"/>
        <w:shd w:val="clear" w:color="auto" w:fill="FFFFFF"/>
        <w:spacing w:after="0" w:line="276" w:lineRule="auto"/>
        <w:jc w:val="both"/>
        <w:rPr>
          <w:rFonts w:ascii="Times New Roman" w:hAnsi="Times New Roman" w:cs="Times New Roman"/>
          <w:sz w:val="24"/>
          <w:szCs w:val="24"/>
          <w:shd w:val="clear" w:color="auto" w:fill="FFFFFF"/>
        </w:rPr>
      </w:pPr>
    </w:p>
    <w:tbl>
      <w:tblPr>
        <w:tblW w:w="5000" w:type="pct"/>
        <w:tblLook w:val="04A0" w:firstRow="1" w:lastRow="0" w:firstColumn="1" w:lastColumn="0" w:noHBand="0" w:noVBand="1"/>
      </w:tblPr>
      <w:tblGrid>
        <w:gridCol w:w="3906"/>
        <w:gridCol w:w="2505"/>
        <w:gridCol w:w="1266"/>
        <w:gridCol w:w="1566"/>
      </w:tblGrid>
      <w:tr w:rsidR="00AC599C" w:rsidRPr="00073C0D" w:rsidTr="00AC599C">
        <w:trPr>
          <w:trHeight w:val="255"/>
        </w:trPr>
        <w:tc>
          <w:tcPr>
            <w:tcW w:w="24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Emertimi</w:t>
            </w:r>
          </w:p>
        </w:tc>
        <w:tc>
          <w:tcPr>
            <w:tcW w:w="789" w:type="pct"/>
            <w:tcBorders>
              <w:top w:val="single" w:sz="4" w:space="0" w:color="auto"/>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Gjendje inventar 01.01.2017</w:t>
            </w:r>
          </w:p>
        </w:tc>
        <w:tc>
          <w:tcPr>
            <w:tcW w:w="777" w:type="pct"/>
            <w:tcBorders>
              <w:top w:val="single" w:sz="4" w:space="0" w:color="auto"/>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Blerje 2017</w:t>
            </w:r>
          </w:p>
        </w:tc>
        <w:tc>
          <w:tcPr>
            <w:tcW w:w="961" w:type="pct"/>
            <w:tcBorders>
              <w:top w:val="single" w:sz="4" w:space="0" w:color="auto"/>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Totali</w:t>
            </w:r>
          </w:p>
        </w:tc>
      </w:tr>
      <w:tr w:rsidR="00AC599C" w:rsidRPr="00073C0D" w:rsidTr="00AC599C">
        <w:trPr>
          <w:trHeight w:val="255"/>
        </w:trPr>
        <w:tc>
          <w:tcPr>
            <w:tcW w:w="2473" w:type="pct"/>
            <w:tcBorders>
              <w:top w:val="nil"/>
              <w:left w:val="single" w:sz="4" w:space="0" w:color="auto"/>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Mallra me TVSH 0%</w:t>
            </w:r>
          </w:p>
        </w:tc>
        <w:tc>
          <w:tcPr>
            <w:tcW w:w="789" w:type="pct"/>
            <w:tcBorders>
              <w:top w:val="nil"/>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3,878,104 </w:t>
            </w:r>
          </w:p>
        </w:tc>
        <w:tc>
          <w:tcPr>
            <w:tcW w:w="777" w:type="pct"/>
            <w:tcBorders>
              <w:top w:val="nil"/>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4,839,723 </w:t>
            </w:r>
          </w:p>
        </w:tc>
        <w:tc>
          <w:tcPr>
            <w:tcW w:w="961" w:type="pct"/>
            <w:tcBorders>
              <w:top w:val="nil"/>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8,717,827 </w:t>
            </w:r>
          </w:p>
        </w:tc>
      </w:tr>
      <w:tr w:rsidR="00AC599C" w:rsidRPr="00073C0D" w:rsidTr="00AC599C">
        <w:trPr>
          <w:trHeight w:val="255"/>
        </w:trPr>
        <w:tc>
          <w:tcPr>
            <w:tcW w:w="2473" w:type="pct"/>
            <w:tcBorders>
              <w:top w:val="nil"/>
              <w:left w:val="single" w:sz="4" w:space="0" w:color="auto"/>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Mallra me TVSH 20%</w:t>
            </w:r>
          </w:p>
        </w:tc>
        <w:tc>
          <w:tcPr>
            <w:tcW w:w="789" w:type="pct"/>
            <w:tcBorders>
              <w:top w:val="nil"/>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2,455,016 </w:t>
            </w:r>
          </w:p>
        </w:tc>
        <w:tc>
          <w:tcPr>
            <w:tcW w:w="777" w:type="pct"/>
            <w:tcBorders>
              <w:top w:val="nil"/>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862,017 </w:t>
            </w:r>
          </w:p>
        </w:tc>
        <w:tc>
          <w:tcPr>
            <w:tcW w:w="961" w:type="pct"/>
            <w:tcBorders>
              <w:top w:val="nil"/>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3,317,033 </w:t>
            </w:r>
          </w:p>
        </w:tc>
      </w:tr>
    </w:tbl>
    <w:p w:rsidR="00AC599C" w:rsidRPr="00073C0D" w:rsidRDefault="00AC599C" w:rsidP="00073C0D">
      <w:pPr>
        <w:widowControl w:val="0"/>
        <w:shd w:val="clear" w:color="auto" w:fill="FFFFFF"/>
        <w:spacing w:after="0" w:line="276" w:lineRule="auto"/>
        <w:jc w:val="both"/>
        <w:rPr>
          <w:rFonts w:ascii="Times New Roman" w:hAnsi="Times New Roman" w:cs="Times New Roman"/>
          <w:sz w:val="24"/>
          <w:szCs w:val="24"/>
          <w:shd w:val="clear" w:color="auto" w:fill="FFFFFF"/>
        </w:rPr>
      </w:pPr>
    </w:p>
    <w:p w:rsidR="005A32EE" w:rsidRPr="00073C0D" w:rsidRDefault="00AC599C" w:rsidP="00073C0D">
      <w:pPr>
        <w:widowControl w:val="0"/>
        <w:shd w:val="clear" w:color="auto" w:fill="FFFFFF"/>
        <w:spacing w:after="0" w:line="276" w:lineRule="auto"/>
        <w:jc w:val="both"/>
        <w:rPr>
          <w:rFonts w:ascii="Times New Roman" w:hAnsi="Times New Roman" w:cs="Times New Roman"/>
          <w:sz w:val="24"/>
          <w:szCs w:val="24"/>
          <w:shd w:val="clear" w:color="auto" w:fill="FFFFFF"/>
        </w:rPr>
      </w:pPr>
      <w:r w:rsidRPr="00073C0D">
        <w:rPr>
          <w:rFonts w:ascii="Times New Roman" w:hAnsi="Times New Roman" w:cs="Times New Roman"/>
          <w:sz w:val="24"/>
          <w:szCs w:val="24"/>
          <w:shd w:val="clear" w:color="auto" w:fill="FFFFFF"/>
        </w:rPr>
        <w:t>Gjendje e mallit të pa deklaruar në shitje dhe diferenca për vlerësim tatimor sa më poshtë:</w:t>
      </w:r>
    </w:p>
    <w:tbl>
      <w:tblPr>
        <w:tblW w:w="5000" w:type="pct"/>
        <w:tblLook w:val="04A0" w:firstRow="1" w:lastRow="0" w:firstColumn="1" w:lastColumn="0" w:noHBand="0" w:noVBand="1"/>
      </w:tblPr>
      <w:tblGrid>
        <w:gridCol w:w="3401"/>
        <w:gridCol w:w="1494"/>
        <w:gridCol w:w="1266"/>
        <w:gridCol w:w="1566"/>
        <w:gridCol w:w="1516"/>
      </w:tblGrid>
      <w:tr w:rsidR="00AC599C" w:rsidRPr="00073C0D" w:rsidTr="00AC599C">
        <w:trPr>
          <w:trHeight w:val="255"/>
        </w:trPr>
        <w:tc>
          <w:tcPr>
            <w:tcW w:w="18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Emertimi</w:t>
            </w:r>
          </w:p>
        </w:tc>
        <w:tc>
          <w:tcPr>
            <w:tcW w:w="808" w:type="pct"/>
            <w:tcBorders>
              <w:top w:val="single" w:sz="4" w:space="0" w:color="auto"/>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Vlera e blerjeve</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Shitje</w:t>
            </w:r>
          </w:p>
        </w:tc>
        <w:tc>
          <w:tcPr>
            <w:tcW w:w="847" w:type="pct"/>
            <w:tcBorders>
              <w:top w:val="single" w:sz="4" w:space="0" w:color="auto"/>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Diferenca</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TVSH</w:t>
            </w:r>
          </w:p>
        </w:tc>
      </w:tr>
      <w:tr w:rsidR="00AC599C" w:rsidRPr="00073C0D" w:rsidTr="00AC599C">
        <w:trPr>
          <w:trHeight w:val="255"/>
        </w:trPr>
        <w:tc>
          <w:tcPr>
            <w:tcW w:w="1840" w:type="pct"/>
            <w:tcBorders>
              <w:top w:val="nil"/>
              <w:left w:val="single" w:sz="4" w:space="0" w:color="auto"/>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Mallra me TVSH 0%</w:t>
            </w:r>
          </w:p>
        </w:tc>
        <w:tc>
          <w:tcPr>
            <w:tcW w:w="808" w:type="pct"/>
            <w:tcBorders>
              <w:top w:val="nil"/>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9,161,629 </w:t>
            </w:r>
          </w:p>
        </w:tc>
        <w:tc>
          <w:tcPr>
            <w:tcW w:w="685" w:type="pct"/>
            <w:tcBorders>
              <w:top w:val="nil"/>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4,625,480 </w:t>
            </w:r>
          </w:p>
        </w:tc>
        <w:tc>
          <w:tcPr>
            <w:tcW w:w="847" w:type="pct"/>
            <w:tcBorders>
              <w:top w:val="nil"/>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4,536,149 </w:t>
            </w:r>
          </w:p>
        </w:tc>
        <w:tc>
          <w:tcPr>
            <w:tcW w:w="820" w:type="pct"/>
            <w:tcBorders>
              <w:top w:val="nil"/>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w:t>
            </w:r>
          </w:p>
        </w:tc>
      </w:tr>
      <w:tr w:rsidR="00AC599C" w:rsidRPr="00073C0D" w:rsidTr="00AC599C">
        <w:trPr>
          <w:trHeight w:val="255"/>
        </w:trPr>
        <w:tc>
          <w:tcPr>
            <w:tcW w:w="1840" w:type="pct"/>
            <w:tcBorders>
              <w:top w:val="nil"/>
              <w:left w:val="single" w:sz="4" w:space="0" w:color="auto"/>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Mallra me TVSH 20%</w:t>
            </w:r>
          </w:p>
        </w:tc>
        <w:tc>
          <w:tcPr>
            <w:tcW w:w="808" w:type="pct"/>
            <w:tcBorders>
              <w:top w:val="nil"/>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3,648,736 </w:t>
            </w:r>
          </w:p>
        </w:tc>
        <w:tc>
          <w:tcPr>
            <w:tcW w:w="685" w:type="pct"/>
            <w:tcBorders>
              <w:top w:val="nil"/>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133,894 </w:t>
            </w:r>
          </w:p>
        </w:tc>
        <w:tc>
          <w:tcPr>
            <w:tcW w:w="847" w:type="pct"/>
            <w:tcBorders>
              <w:top w:val="nil"/>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3,514,842 </w:t>
            </w:r>
          </w:p>
        </w:tc>
        <w:tc>
          <w:tcPr>
            <w:tcW w:w="820" w:type="pct"/>
            <w:tcBorders>
              <w:top w:val="nil"/>
              <w:left w:val="nil"/>
              <w:bottom w:val="single" w:sz="4" w:space="0" w:color="auto"/>
              <w:right w:val="single" w:sz="4" w:space="0" w:color="auto"/>
            </w:tcBorders>
            <w:shd w:val="clear" w:color="auto" w:fill="auto"/>
            <w:noWrap/>
            <w:vAlign w:val="bottom"/>
            <w:hideMark/>
          </w:tcPr>
          <w:p w:rsidR="00AC599C" w:rsidRPr="00073C0D" w:rsidRDefault="00AC599C" w:rsidP="00073C0D">
            <w:pPr>
              <w:widowControl w:val="0"/>
              <w:spacing w:after="0" w:line="276" w:lineRule="auto"/>
              <w:rPr>
                <w:rFonts w:ascii="Times New Roman" w:eastAsia="Times New Roman" w:hAnsi="Times New Roman" w:cs="Times New Roman"/>
                <w:color w:val="000000"/>
                <w:sz w:val="20"/>
                <w:szCs w:val="20"/>
              </w:rPr>
            </w:pPr>
            <w:r w:rsidRPr="00073C0D">
              <w:rPr>
                <w:rFonts w:ascii="Times New Roman" w:eastAsia="Times New Roman" w:hAnsi="Times New Roman" w:cs="Times New Roman"/>
                <w:color w:val="000000"/>
                <w:sz w:val="20"/>
                <w:szCs w:val="20"/>
              </w:rPr>
              <w:t xml:space="preserve">             702,968 </w:t>
            </w:r>
          </w:p>
        </w:tc>
      </w:tr>
    </w:tbl>
    <w:p w:rsidR="00AC599C" w:rsidRPr="00073C0D" w:rsidRDefault="00AC599C" w:rsidP="00073C0D">
      <w:pPr>
        <w:widowControl w:val="0"/>
        <w:shd w:val="clear" w:color="auto" w:fill="FFFFFF"/>
        <w:spacing w:after="0" w:line="276" w:lineRule="auto"/>
        <w:jc w:val="both"/>
        <w:rPr>
          <w:rFonts w:ascii="Times New Roman" w:hAnsi="Times New Roman" w:cs="Times New Roman"/>
          <w:bCs/>
          <w:sz w:val="24"/>
          <w:szCs w:val="24"/>
        </w:rPr>
      </w:pPr>
    </w:p>
    <w:p w:rsidR="00AC599C" w:rsidRPr="00073C0D" w:rsidRDefault="00AC599C" w:rsidP="00073C0D">
      <w:pPr>
        <w:widowControl w:val="0"/>
        <w:shd w:val="clear" w:color="auto" w:fill="FFFFFF"/>
        <w:spacing w:after="0" w:line="276" w:lineRule="auto"/>
        <w:jc w:val="both"/>
        <w:rPr>
          <w:rFonts w:ascii="Times New Roman" w:hAnsi="Times New Roman" w:cs="Times New Roman"/>
          <w:bCs/>
          <w:sz w:val="24"/>
          <w:szCs w:val="24"/>
        </w:rPr>
      </w:pPr>
      <w:r w:rsidRPr="00073C0D">
        <w:rPr>
          <w:rFonts w:ascii="Times New Roman" w:hAnsi="Times New Roman" w:cs="Times New Roman"/>
          <w:bCs/>
          <w:sz w:val="24"/>
          <w:szCs w:val="24"/>
        </w:rPr>
        <w:t>Në zbatim të Ligjit nr. 9920, datë 19.05.2008 “Për Procedurat Tatimore në RSH” neni 124 pika 1 tatimpaguesi detyrohet për TVSH në vlerën 702.968 lekë si dhe një gjobë 100% ose në vlerën 702.968 lekë.</w:t>
      </w:r>
    </w:p>
    <w:p w:rsidR="00F05C2B" w:rsidRPr="00073C0D" w:rsidRDefault="00F05C2B" w:rsidP="00073C0D">
      <w:pPr>
        <w:widowControl w:val="0"/>
        <w:shd w:val="clear" w:color="auto" w:fill="FFFFFF"/>
        <w:spacing w:after="0" w:line="276" w:lineRule="auto"/>
        <w:jc w:val="both"/>
        <w:rPr>
          <w:rFonts w:ascii="Times New Roman" w:hAnsi="Times New Roman" w:cs="Times New Roman"/>
          <w:sz w:val="24"/>
          <w:szCs w:val="24"/>
          <w:shd w:val="clear" w:color="auto" w:fill="FFFFFF"/>
        </w:rPr>
      </w:pPr>
    </w:p>
    <w:p w:rsidR="003206C0" w:rsidRPr="00073C0D" w:rsidRDefault="007244F5" w:rsidP="00073C0D">
      <w:pPr>
        <w:pStyle w:val="Header"/>
        <w:widowControl w:val="0"/>
        <w:tabs>
          <w:tab w:val="left" w:pos="720"/>
        </w:tabs>
        <w:spacing w:line="276" w:lineRule="auto"/>
        <w:jc w:val="center"/>
        <w:rPr>
          <w:rFonts w:ascii="Times New Roman" w:hAnsi="Times New Roman" w:cs="Times New Roman"/>
          <w:bCs/>
          <w:sz w:val="24"/>
          <w:szCs w:val="24"/>
        </w:rPr>
      </w:pPr>
      <w:r w:rsidRPr="00073C0D">
        <w:rPr>
          <w:rFonts w:ascii="Times New Roman" w:hAnsi="Times New Roman" w:cs="Times New Roman"/>
          <w:bCs/>
          <w:sz w:val="24"/>
          <w:szCs w:val="24"/>
        </w:rPr>
        <w:t>*</w:t>
      </w:r>
      <w:r w:rsidR="0096222A" w:rsidRPr="00073C0D">
        <w:rPr>
          <w:rFonts w:ascii="Times New Roman" w:hAnsi="Times New Roman" w:cs="Times New Roman"/>
          <w:bCs/>
          <w:sz w:val="24"/>
          <w:szCs w:val="24"/>
        </w:rPr>
        <w:t xml:space="preserve"> </w:t>
      </w:r>
      <w:r w:rsidRPr="00073C0D">
        <w:rPr>
          <w:rFonts w:ascii="Times New Roman" w:hAnsi="Times New Roman" w:cs="Times New Roman"/>
          <w:bCs/>
          <w:sz w:val="24"/>
          <w:szCs w:val="24"/>
        </w:rPr>
        <w:t>*</w:t>
      </w:r>
      <w:r w:rsidR="0096222A" w:rsidRPr="00073C0D">
        <w:rPr>
          <w:rFonts w:ascii="Times New Roman" w:hAnsi="Times New Roman" w:cs="Times New Roman"/>
          <w:bCs/>
          <w:sz w:val="24"/>
          <w:szCs w:val="24"/>
        </w:rPr>
        <w:t xml:space="preserve"> </w:t>
      </w:r>
      <w:r w:rsidRPr="00073C0D">
        <w:rPr>
          <w:rFonts w:ascii="Times New Roman" w:hAnsi="Times New Roman" w:cs="Times New Roman"/>
          <w:bCs/>
          <w:sz w:val="24"/>
          <w:szCs w:val="24"/>
        </w:rPr>
        <w:t>*</w:t>
      </w:r>
    </w:p>
    <w:p w:rsidR="005A32EE" w:rsidRPr="00073C0D" w:rsidRDefault="005A32EE" w:rsidP="00073C0D">
      <w:pPr>
        <w:pStyle w:val="Header"/>
        <w:widowControl w:val="0"/>
        <w:tabs>
          <w:tab w:val="left" w:pos="720"/>
        </w:tabs>
        <w:spacing w:line="276" w:lineRule="auto"/>
        <w:jc w:val="both"/>
        <w:rPr>
          <w:rFonts w:ascii="Times New Roman" w:hAnsi="Times New Roman" w:cs="Times New Roman"/>
          <w:bCs/>
          <w:sz w:val="24"/>
          <w:szCs w:val="24"/>
        </w:rPr>
      </w:pPr>
    </w:p>
    <w:p w:rsidR="003206C0" w:rsidRPr="00073C0D" w:rsidRDefault="00BD1102" w:rsidP="00073C0D">
      <w:pPr>
        <w:pStyle w:val="Header"/>
        <w:widowControl w:val="0"/>
        <w:tabs>
          <w:tab w:val="left" w:pos="720"/>
        </w:tabs>
        <w:spacing w:line="276" w:lineRule="auto"/>
        <w:jc w:val="both"/>
        <w:rPr>
          <w:rFonts w:ascii="Times New Roman" w:hAnsi="Times New Roman" w:cs="Times New Roman"/>
          <w:bCs/>
          <w:sz w:val="24"/>
          <w:szCs w:val="24"/>
        </w:rPr>
      </w:pPr>
      <w:r w:rsidRPr="00073C0D">
        <w:rPr>
          <w:rFonts w:ascii="Times New Roman" w:hAnsi="Times New Roman" w:cs="Times New Roman"/>
          <w:bCs/>
          <w:sz w:val="24"/>
          <w:szCs w:val="24"/>
        </w:rPr>
        <w:t xml:space="preserve">Tatimpaguesi </w:t>
      </w:r>
      <w:r w:rsidR="007244F5" w:rsidRPr="00073C0D">
        <w:rPr>
          <w:rFonts w:ascii="Times New Roman" w:hAnsi="Times New Roman" w:cs="Times New Roman"/>
          <w:bCs/>
          <w:sz w:val="24"/>
          <w:szCs w:val="24"/>
        </w:rPr>
        <w:t>ka kundërshtuar vlerësimin e kryer  duke theksuar</w:t>
      </w:r>
      <w:r w:rsidRPr="00073C0D">
        <w:rPr>
          <w:rFonts w:ascii="Times New Roman" w:hAnsi="Times New Roman" w:cs="Times New Roman"/>
          <w:bCs/>
          <w:sz w:val="24"/>
          <w:szCs w:val="24"/>
        </w:rPr>
        <w:t xml:space="preserve"> se ka aplikuar për çregjistrim </w:t>
      </w:r>
      <w:r w:rsidR="00806A9A" w:rsidRPr="00073C0D">
        <w:rPr>
          <w:rFonts w:ascii="Times New Roman" w:hAnsi="Times New Roman" w:cs="Times New Roman"/>
          <w:bCs/>
          <w:sz w:val="24"/>
          <w:szCs w:val="24"/>
        </w:rPr>
        <w:t>në QKB në Prill 2017 dhe ky organ ka kryer çregjistrimin me datë 23.06.2017</w:t>
      </w:r>
      <w:r w:rsidRPr="00073C0D">
        <w:rPr>
          <w:rFonts w:ascii="Times New Roman" w:hAnsi="Times New Roman" w:cs="Times New Roman"/>
          <w:bCs/>
          <w:sz w:val="24"/>
          <w:szCs w:val="24"/>
        </w:rPr>
        <w:t xml:space="preserve">. </w:t>
      </w:r>
    </w:p>
    <w:p w:rsidR="00AA385C" w:rsidRDefault="00AA385C" w:rsidP="00073C0D">
      <w:pPr>
        <w:pStyle w:val="Header"/>
        <w:widowControl w:val="0"/>
        <w:tabs>
          <w:tab w:val="left" w:pos="720"/>
        </w:tabs>
        <w:spacing w:line="276" w:lineRule="auto"/>
        <w:jc w:val="both"/>
        <w:rPr>
          <w:rFonts w:ascii="Times New Roman" w:hAnsi="Times New Roman" w:cs="Times New Roman"/>
          <w:bCs/>
          <w:sz w:val="24"/>
          <w:szCs w:val="24"/>
        </w:rPr>
      </w:pPr>
    </w:p>
    <w:p w:rsidR="00A943D1" w:rsidRPr="00073C0D" w:rsidRDefault="00806A9A" w:rsidP="00073C0D">
      <w:pPr>
        <w:pStyle w:val="Header"/>
        <w:widowControl w:val="0"/>
        <w:tabs>
          <w:tab w:val="left" w:pos="720"/>
        </w:tabs>
        <w:spacing w:line="276" w:lineRule="auto"/>
        <w:jc w:val="both"/>
        <w:rPr>
          <w:rFonts w:ascii="Times New Roman" w:hAnsi="Times New Roman" w:cs="Times New Roman"/>
          <w:bCs/>
          <w:sz w:val="24"/>
          <w:szCs w:val="24"/>
        </w:rPr>
      </w:pPr>
      <w:r w:rsidRPr="00073C0D">
        <w:rPr>
          <w:rFonts w:ascii="Times New Roman" w:hAnsi="Times New Roman" w:cs="Times New Roman"/>
          <w:bCs/>
          <w:sz w:val="24"/>
          <w:szCs w:val="24"/>
        </w:rPr>
        <w:t xml:space="preserve">Njoftim vlerësimi i dalë nga </w:t>
      </w:r>
      <w:r w:rsidRPr="00073C0D">
        <w:rPr>
          <w:rFonts w:ascii="Times New Roman" w:hAnsi="Times New Roman" w:cs="Times New Roman"/>
          <w:sz w:val="24"/>
          <w:szCs w:val="24"/>
          <w:shd w:val="clear" w:color="auto" w:fill="FFFFFF"/>
        </w:rPr>
        <w:t>Akt Verifikimi nga Zyra me i datës 24.02.2022, duhet shfuqizuar pasi ka dalë në kundërshtim me procedurat ligjore.</w:t>
      </w:r>
      <w:r w:rsidR="00073C0D" w:rsidRPr="00073C0D">
        <w:rPr>
          <w:rFonts w:ascii="Times New Roman" w:hAnsi="Times New Roman" w:cs="Times New Roman"/>
          <w:sz w:val="24"/>
          <w:szCs w:val="24"/>
          <w:shd w:val="clear" w:color="auto" w:fill="FFFFFF"/>
        </w:rPr>
        <w:t xml:space="preserve"> </w:t>
      </w:r>
      <w:r w:rsidR="00A943D1" w:rsidRPr="00073C0D">
        <w:rPr>
          <w:rFonts w:ascii="Times New Roman" w:hAnsi="Times New Roman" w:cs="Times New Roman"/>
          <w:bCs/>
          <w:sz w:val="24"/>
          <w:szCs w:val="24"/>
        </w:rPr>
        <w:t>Administrata tatimore kishte të drejtë të analizonte si subjekt me risk dhe të planifikonte kontroll tatimor brenda afatit të çregjistrimit.</w:t>
      </w:r>
    </w:p>
    <w:p w:rsidR="00F05C2B" w:rsidRPr="00073C0D" w:rsidRDefault="00F05C2B" w:rsidP="00073C0D">
      <w:pPr>
        <w:pStyle w:val="Header"/>
        <w:widowControl w:val="0"/>
        <w:tabs>
          <w:tab w:val="left" w:pos="720"/>
        </w:tabs>
        <w:spacing w:line="276" w:lineRule="auto"/>
        <w:jc w:val="both"/>
        <w:rPr>
          <w:rFonts w:ascii="Times New Roman" w:hAnsi="Times New Roman" w:cs="Times New Roman"/>
          <w:bCs/>
          <w:sz w:val="24"/>
          <w:szCs w:val="24"/>
        </w:rPr>
      </w:pPr>
    </w:p>
    <w:p w:rsidR="0096222A" w:rsidRPr="00073C0D" w:rsidRDefault="0096222A" w:rsidP="00073C0D">
      <w:pPr>
        <w:pStyle w:val="Header"/>
        <w:widowControl w:val="0"/>
        <w:tabs>
          <w:tab w:val="left" w:pos="720"/>
        </w:tabs>
        <w:spacing w:line="276" w:lineRule="auto"/>
        <w:jc w:val="center"/>
        <w:rPr>
          <w:rFonts w:ascii="Times New Roman" w:hAnsi="Times New Roman" w:cs="Times New Roman"/>
          <w:bCs/>
          <w:sz w:val="24"/>
          <w:szCs w:val="24"/>
        </w:rPr>
      </w:pPr>
      <w:r w:rsidRPr="00073C0D">
        <w:rPr>
          <w:rFonts w:ascii="Times New Roman" w:hAnsi="Times New Roman" w:cs="Times New Roman"/>
          <w:bCs/>
          <w:sz w:val="24"/>
          <w:szCs w:val="24"/>
        </w:rPr>
        <w:t>* * *</w:t>
      </w:r>
    </w:p>
    <w:p w:rsidR="005A32EE" w:rsidRPr="00073C0D" w:rsidRDefault="005A32EE" w:rsidP="00073C0D">
      <w:pPr>
        <w:widowControl w:val="0"/>
        <w:spacing w:after="0" w:line="276" w:lineRule="auto"/>
        <w:jc w:val="both"/>
        <w:rPr>
          <w:rFonts w:ascii="Times New Roman" w:hAnsi="Times New Roman"/>
          <w:sz w:val="24"/>
          <w:szCs w:val="24"/>
        </w:rPr>
      </w:pPr>
    </w:p>
    <w:p w:rsidR="006B4FAB" w:rsidRPr="00073C0D" w:rsidRDefault="006B4FAB" w:rsidP="00073C0D">
      <w:pPr>
        <w:widowControl w:val="0"/>
        <w:spacing w:after="0" w:line="276" w:lineRule="auto"/>
        <w:jc w:val="both"/>
        <w:rPr>
          <w:rFonts w:ascii="Times New Roman" w:hAnsi="Times New Roman"/>
          <w:sz w:val="24"/>
          <w:szCs w:val="24"/>
        </w:rPr>
      </w:pPr>
      <w:r w:rsidRPr="00073C0D">
        <w:rPr>
          <w:rFonts w:ascii="Times New Roman" w:hAnsi="Times New Roman"/>
          <w:sz w:val="24"/>
          <w:szCs w:val="24"/>
        </w:rPr>
        <w:t xml:space="preserve">Drejtoria e Apelimit Tatimor, pas shqyrtimit të pretendimeve të </w:t>
      </w:r>
      <w:r w:rsidR="00C81C14" w:rsidRPr="00073C0D">
        <w:rPr>
          <w:rFonts w:ascii="Times New Roman" w:hAnsi="Times New Roman"/>
          <w:sz w:val="24"/>
          <w:szCs w:val="24"/>
        </w:rPr>
        <w:t>tatimpaguesit</w:t>
      </w:r>
      <w:r w:rsidRPr="00073C0D">
        <w:rPr>
          <w:rFonts w:ascii="Times New Roman" w:hAnsi="Times New Roman"/>
          <w:sz w:val="24"/>
          <w:szCs w:val="24"/>
        </w:rPr>
        <w:t>, dokumentacionit bashkëlidhur ankimit dhe të dhënave në raportin e kontrollit vlerëson se:</w:t>
      </w:r>
    </w:p>
    <w:p w:rsidR="006B4FAB" w:rsidRPr="00073C0D" w:rsidRDefault="006B4FAB" w:rsidP="00073C0D">
      <w:pPr>
        <w:widowControl w:val="0"/>
        <w:spacing w:after="0" w:line="276" w:lineRule="auto"/>
        <w:jc w:val="both"/>
        <w:rPr>
          <w:bCs/>
          <w:sz w:val="24"/>
          <w:szCs w:val="24"/>
        </w:rPr>
      </w:pPr>
    </w:p>
    <w:p w:rsidR="00C81C14" w:rsidRPr="00073C0D" w:rsidRDefault="00C81C14" w:rsidP="00073C0D">
      <w:pPr>
        <w:pStyle w:val="Header"/>
        <w:widowControl w:val="0"/>
        <w:tabs>
          <w:tab w:val="left" w:pos="720"/>
        </w:tabs>
        <w:spacing w:line="276" w:lineRule="auto"/>
        <w:jc w:val="both"/>
        <w:rPr>
          <w:rFonts w:ascii="Times New Roman" w:hAnsi="Times New Roman" w:cs="Times New Roman"/>
          <w:bCs/>
          <w:sz w:val="24"/>
          <w:szCs w:val="24"/>
        </w:rPr>
      </w:pPr>
      <w:r w:rsidRPr="00073C0D">
        <w:rPr>
          <w:rFonts w:ascii="Times New Roman" w:hAnsi="Times New Roman" w:cs="Times New Roman"/>
          <w:bCs/>
          <w:sz w:val="24"/>
          <w:szCs w:val="24"/>
        </w:rPr>
        <w:t xml:space="preserve">Referuar të dhënave në Qendrën Kombëtare të Biznesit, atyre në sistemin tatimor informatik dhe të dhënave në raportin e kontrollit, konstatohet se më datë </w:t>
      </w:r>
      <w:r w:rsidR="00073C0D">
        <w:rPr>
          <w:rFonts w:ascii="Times New Roman" w:hAnsi="Times New Roman" w:cs="Times New Roman"/>
          <w:bCs/>
          <w:sz w:val="24"/>
          <w:szCs w:val="24"/>
        </w:rPr>
        <w:t>23</w:t>
      </w:r>
      <w:r w:rsidRPr="00073C0D">
        <w:rPr>
          <w:rFonts w:ascii="Times New Roman" w:hAnsi="Times New Roman" w:cs="Times New Roman"/>
          <w:bCs/>
          <w:sz w:val="24"/>
          <w:szCs w:val="24"/>
        </w:rPr>
        <w:t>.</w:t>
      </w:r>
      <w:r w:rsidR="00073C0D">
        <w:rPr>
          <w:rFonts w:ascii="Times New Roman" w:hAnsi="Times New Roman" w:cs="Times New Roman"/>
          <w:bCs/>
          <w:sz w:val="24"/>
          <w:szCs w:val="24"/>
        </w:rPr>
        <w:t>06</w:t>
      </w:r>
      <w:r w:rsidRPr="00073C0D">
        <w:rPr>
          <w:rFonts w:ascii="Times New Roman" w:hAnsi="Times New Roman" w:cs="Times New Roman"/>
          <w:bCs/>
          <w:sz w:val="24"/>
          <w:szCs w:val="24"/>
        </w:rPr>
        <w:t>.20</w:t>
      </w:r>
      <w:r w:rsidR="00073C0D">
        <w:rPr>
          <w:rFonts w:ascii="Times New Roman" w:hAnsi="Times New Roman" w:cs="Times New Roman"/>
          <w:bCs/>
          <w:sz w:val="24"/>
          <w:szCs w:val="24"/>
        </w:rPr>
        <w:t>17</w:t>
      </w:r>
      <w:r w:rsidRPr="00073C0D">
        <w:rPr>
          <w:rFonts w:ascii="Times New Roman" w:hAnsi="Times New Roman" w:cs="Times New Roman"/>
          <w:bCs/>
          <w:sz w:val="24"/>
          <w:szCs w:val="24"/>
        </w:rPr>
        <w:t xml:space="preserve"> tatimpaguesi </w:t>
      </w:r>
      <w:r w:rsidR="00AA385C">
        <w:rPr>
          <w:rFonts w:ascii="Times New Roman" w:hAnsi="Times New Roman" w:cs="Times New Roman"/>
          <w:bCs/>
          <w:sz w:val="24"/>
          <w:szCs w:val="24"/>
        </w:rPr>
        <w:t>ë</w:t>
      </w:r>
      <w:r w:rsidR="00073C0D">
        <w:rPr>
          <w:rFonts w:ascii="Times New Roman" w:hAnsi="Times New Roman" w:cs="Times New Roman"/>
          <w:bCs/>
          <w:sz w:val="24"/>
          <w:szCs w:val="24"/>
        </w:rPr>
        <w:t>sht</w:t>
      </w:r>
      <w:r w:rsidR="00AA385C">
        <w:rPr>
          <w:rFonts w:ascii="Times New Roman" w:hAnsi="Times New Roman" w:cs="Times New Roman"/>
          <w:bCs/>
          <w:sz w:val="24"/>
          <w:szCs w:val="24"/>
        </w:rPr>
        <w:t>ë</w:t>
      </w:r>
      <w:r w:rsidR="00073C0D">
        <w:rPr>
          <w:rFonts w:ascii="Times New Roman" w:hAnsi="Times New Roman" w:cs="Times New Roman"/>
          <w:bCs/>
          <w:sz w:val="24"/>
          <w:szCs w:val="24"/>
        </w:rPr>
        <w:t xml:space="preserve"> çregjistruar</w:t>
      </w:r>
      <w:r w:rsidRPr="00073C0D">
        <w:rPr>
          <w:rFonts w:ascii="Times New Roman" w:hAnsi="Times New Roman" w:cs="Times New Roman"/>
          <w:bCs/>
          <w:sz w:val="24"/>
          <w:szCs w:val="24"/>
        </w:rPr>
        <w:t xml:space="preserve"> nga regjistri tregtar. </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bCs/>
          <w:sz w:val="24"/>
          <w:szCs w:val="24"/>
        </w:rPr>
      </w:pPr>
    </w:p>
    <w:p w:rsidR="00C81C14" w:rsidRPr="00073C0D" w:rsidRDefault="00C81C14" w:rsidP="00073C0D">
      <w:pPr>
        <w:pStyle w:val="Header"/>
        <w:widowControl w:val="0"/>
        <w:tabs>
          <w:tab w:val="left" w:pos="720"/>
        </w:tabs>
        <w:spacing w:line="276" w:lineRule="auto"/>
        <w:jc w:val="both"/>
        <w:rPr>
          <w:rFonts w:ascii="Times New Roman" w:hAnsi="Times New Roman" w:cs="Times New Roman"/>
          <w:bCs/>
          <w:sz w:val="24"/>
          <w:szCs w:val="24"/>
        </w:rPr>
      </w:pPr>
      <w:r w:rsidRPr="00073C0D">
        <w:rPr>
          <w:rFonts w:ascii="Times New Roman" w:hAnsi="Times New Roman" w:cs="Times New Roman"/>
          <w:bCs/>
          <w:sz w:val="24"/>
          <w:szCs w:val="24"/>
        </w:rPr>
        <w:lastRenderedPageBreak/>
        <w:t>Ligji nr. 9920, datë 19.05.2008 “Për Procedurat Tatimore në RSH”, në nenin 45, pika 2 përcakton se “</w:t>
      </w:r>
      <w:r w:rsidRPr="00073C0D">
        <w:rPr>
          <w:rFonts w:ascii="Times New Roman" w:hAnsi="Times New Roman" w:cs="Times New Roman"/>
          <w:bCs/>
          <w:i/>
          <w:sz w:val="24"/>
          <w:szCs w:val="24"/>
        </w:rPr>
        <w:t>Data e çregjistrimit të tatimpaguesit në administratën tatimore është data e çregjistrimit në Qendrën Kombëtare të Biznesit ose në gjykatë, për të gjitha subjektet që çregjistrohen pranë tyre</w:t>
      </w:r>
      <w:r w:rsidRPr="00073C0D">
        <w:rPr>
          <w:rFonts w:ascii="Times New Roman" w:hAnsi="Times New Roman" w:cs="Times New Roman"/>
          <w:bCs/>
          <w:sz w:val="24"/>
          <w:szCs w:val="24"/>
        </w:rPr>
        <w:t>”.</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bCs/>
          <w:sz w:val="24"/>
          <w:szCs w:val="24"/>
        </w:rPr>
      </w:pPr>
      <w:r w:rsidRPr="00073C0D">
        <w:rPr>
          <w:rFonts w:ascii="Times New Roman" w:hAnsi="Times New Roman" w:cs="Times New Roman"/>
          <w:bCs/>
          <w:sz w:val="24"/>
          <w:szCs w:val="24"/>
        </w:rPr>
        <w:t>Në pikën 3 të këtij neni përcaktohet procedura dhe afatet që duhet të zbatohen nga tatimpaguesi, Qendra Kombëtare e Biznesit dhe administrata tatimore në rastin kur personi fizik aplikon për çregjistrim pranë QKB-së, konkretisht:</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bCs/>
          <w:i/>
          <w:sz w:val="24"/>
          <w:szCs w:val="24"/>
        </w:rPr>
      </w:pPr>
      <w:r w:rsidRPr="00073C0D">
        <w:rPr>
          <w:rFonts w:ascii="Times New Roman" w:hAnsi="Times New Roman" w:cs="Times New Roman"/>
          <w:bCs/>
          <w:sz w:val="24"/>
          <w:szCs w:val="24"/>
        </w:rPr>
        <w:t xml:space="preserve">3.1 </w:t>
      </w:r>
      <w:r w:rsidRPr="00073C0D">
        <w:rPr>
          <w:rFonts w:ascii="Times New Roman" w:hAnsi="Times New Roman" w:cs="Times New Roman"/>
          <w:bCs/>
          <w:i/>
          <w:sz w:val="24"/>
          <w:szCs w:val="24"/>
        </w:rPr>
        <w:t>Çregjistrimi i subjektit/tatimpaguesit nga regjistri i administratës tatimore fillon në Qendrën Kombëtare të Biznesit dhe, mbas çregjistrimit në Qendrën Kombëtare të Biznesit, bëhet çregjistrimi në regjistrin e administratës tatimore.</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bCs/>
          <w:sz w:val="24"/>
          <w:szCs w:val="24"/>
        </w:rPr>
      </w:pPr>
      <w:r w:rsidRPr="00073C0D">
        <w:rPr>
          <w:rFonts w:ascii="Times New Roman" w:hAnsi="Times New Roman" w:cs="Times New Roman"/>
          <w:bCs/>
          <w:i/>
          <w:sz w:val="24"/>
          <w:szCs w:val="24"/>
        </w:rPr>
        <w:t>3.2 Qendra Kombëtare e Biznesit, me marrjen e kërkesës për çregjistrim të personit fizik, njofton menjëherë organin tatimor në rrugë elektronike mbi datën e kërkesës për çregjistrimin e tij.</w:t>
      </w:r>
      <w:r w:rsidRPr="00073C0D">
        <w:rPr>
          <w:rFonts w:ascii="Times New Roman" w:hAnsi="Times New Roman" w:cs="Times New Roman"/>
          <w:bCs/>
          <w:sz w:val="24"/>
          <w:szCs w:val="24"/>
        </w:rPr>
        <w:t>..</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bCs/>
          <w:i/>
          <w:sz w:val="24"/>
          <w:szCs w:val="24"/>
        </w:rPr>
      </w:pPr>
      <w:r w:rsidRPr="00073C0D">
        <w:rPr>
          <w:rFonts w:ascii="Times New Roman" w:hAnsi="Times New Roman" w:cs="Times New Roman"/>
          <w:bCs/>
          <w:i/>
          <w:sz w:val="24"/>
          <w:szCs w:val="24"/>
        </w:rPr>
        <w:t>3.3 Administrata tatimore, brenda 10 ditëve pune nga data e paraqitjes së kërkesës për çregjistrim të personave fizikë, apo paraqitjes së raportit përfundimtar të likuidimit për personat juridikë, është e detyruar të verifikojë dhe të vlerësojë situatën tatimore të subjektit/tatimpaguesit në llogarinë e tij në kontabilitetin dhe sistemin e të dhënave që disponon. Për situatën tatimore të subjektit/tatimpaguesit, si dhe për deklaratat e padorëzuara nga ai, administrata tatimore njofton brenda këtyre 10 ditëve tatimpaguesin.</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bCs/>
          <w:i/>
          <w:sz w:val="24"/>
          <w:szCs w:val="24"/>
        </w:rPr>
      </w:pPr>
      <w:r w:rsidRPr="00073C0D">
        <w:rPr>
          <w:rFonts w:ascii="Times New Roman" w:hAnsi="Times New Roman" w:cs="Times New Roman"/>
          <w:bCs/>
          <w:i/>
          <w:sz w:val="24"/>
          <w:szCs w:val="24"/>
        </w:rPr>
        <w:t>Kur administrata tatimore, sipas analizës së riskut, gjykon se është e nevojshme të ushtrojë kontroll në mjedisin ku kryen veprimtarinë subjekti, ky kontroll dhe pasqyrimi i tij në situatën e tatimpaguesit nuk mund të zgjasë më shumë se 30 ditë pune...</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bCs/>
          <w:i/>
          <w:sz w:val="24"/>
          <w:szCs w:val="24"/>
        </w:rPr>
      </w:pPr>
      <w:r w:rsidRPr="00073C0D">
        <w:rPr>
          <w:rFonts w:ascii="Times New Roman" w:hAnsi="Times New Roman" w:cs="Times New Roman"/>
          <w:bCs/>
          <w:i/>
          <w:sz w:val="24"/>
          <w:szCs w:val="24"/>
        </w:rPr>
        <w:t>3.4 Qendra Kombëtare e Biznesit nuk mund të kryejë çregjistrimin e subjektit, në qoftë se në situatën e tatimpaguesit në kohë reale rezultojnë detyrime tatimore të papaguara të tatimpaguesit dhe deklarata tatimore të padorëzuara, si dhe në rast se ai nuk ka paraqitur pasqyrat financiare të mbylljes së aktivitetit deri në momentin e mbylljes. Në raste të veçanta, kur deklaratat apo pasqyrat financiare nuk janë dorëzuar nga subjektet, komunikimi ndërmjet organit tatimor dhe Qendrës Kombëtare të Biznesit mund të bëhet me postë elektronike (email) ose dhe me shkresë zyrtare.</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bCs/>
          <w:i/>
          <w:sz w:val="24"/>
          <w:szCs w:val="24"/>
        </w:rPr>
      </w:pPr>
      <w:r w:rsidRPr="00073C0D">
        <w:rPr>
          <w:rFonts w:ascii="Times New Roman" w:hAnsi="Times New Roman" w:cs="Times New Roman"/>
          <w:bCs/>
          <w:i/>
          <w:sz w:val="24"/>
          <w:szCs w:val="24"/>
        </w:rPr>
        <w:t>3.5 Nëse në situatën në kohë reale të tatimpaguesit/subjektit nuk ka detyrime tatimore të</w:t>
      </w:r>
      <w:r w:rsidR="00073C0D">
        <w:rPr>
          <w:rFonts w:ascii="Times New Roman" w:hAnsi="Times New Roman" w:cs="Times New Roman"/>
          <w:bCs/>
          <w:i/>
          <w:sz w:val="24"/>
          <w:szCs w:val="24"/>
        </w:rPr>
        <w:t xml:space="preserve"> </w:t>
      </w:r>
      <w:r w:rsidRPr="00073C0D">
        <w:rPr>
          <w:rFonts w:ascii="Times New Roman" w:hAnsi="Times New Roman" w:cs="Times New Roman"/>
          <w:bCs/>
          <w:i/>
          <w:sz w:val="24"/>
          <w:szCs w:val="24"/>
        </w:rPr>
        <w:t>papaguara, si dhe deklarata të padorëzuara, Qendra Kombëtare e Biznesit kryen menjëherë çregjistrimin e tatimpaguesit, duke njoftuar menjëherë në rrugë elektronike administratën tatimore për datën e çregjistrimit të tij”.</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bCs/>
          <w:i/>
          <w:sz w:val="24"/>
          <w:szCs w:val="24"/>
        </w:rPr>
      </w:pP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r w:rsidRPr="00073C0D">
        <w:rPr>
          <w:rFonts w:ascii="Times New Roman" w:hAnsi="Times New Roman" w:cs="Times New Roman"/>
          <w:bCs/>
          <w:sz w:val="24"/>
          <w:szCs w:val="24"/>
        </w:rPr>
        <w:t xml:space="preserve">Udhëzimi </w:t>
      </w:r>
      <w:r w:rsidRPr="00073C0D">
        <w:rPr>
          <w:rFonts w:ascii="Times New Roman" w:hAnsi="Times New Roman" w:cs="Times New Roman"/>
          <w:sz w:val="24"/>
          <w:szCs w:val="24"/>
        </w:rPr>
        <w:t>nr. 24, datë 02.09.2008 “Për Procedurat Tatimore në RSH”, në paragrafin 45.3 “Çregjistrimi i tatimpaguesve persona fizikë të regjistruar në Qendrën Kombëtare të Biznesit”, gërma (b) përcakton se “</w:t>
      </w:r>
      <w:r w:rsidRPr="00073C0D">
        <w:rPr>
          <w:rFonts w:ascii="Times New Roman" w:hAnsi="Times New Roman" w:cs="Times New Roman"/>
          <w:i/>
          <w:sz w:val="24"/>
          <w:szCs w:val="24"/>
        </w:rPr>
        <w:t xml:space="preserve">Drejtoria Rajonale e Tatimeve e juridiksionit përkatës, brenda 10 ditëve pune nga data e aplikimit për çregjistrim, kryen të gjitha verifikimet dhe vlerësimet e duhura dhe pasqyron situatën tatimore në llogarinë elektronike të tatimpaguesit. Verifikimi përfshin të gjitha detyrimet tatimore, detyrimet për kontributet e sigurimeve shoqërore e shëndetësore, gjobat dhe kamatëvonesat aktuale të lidhura me këto detyrime, si dhe deklaratat tatimore të padorëzuara. Për tatimpaguesit persona fizikë të regjistruar për përgjegjësinë tatimore Tatim Fitimi, kur administrata tatimore, sipas analizës së riskut, gjykon të nevojshme të ushtrojë kontroll tatimor në mjediset e veprimtarisë së subjektit, ky </w:t>
      </w:r>
      <w:r w:rsidRPr="00073C0D">
        <w:rPr>
          <w:rFonts w:ascii="Times New Roman" w:hAnsi="Times New Roman" w:cs="Times New Roman"/>
          <w:i/>
          <w:sz w:val="24"/>
          <w:szCs w:val="24"/>
        </w:rPr>
        <w:lastRenderedPageBreak/>
        <w:t>kontroll dhe pasqyrimi i tij në situatën e tatimpaguesit nuk mund të zgjasë më shumë se 30 ditë pune. Ky afat fillon nga data e aplikimit për çregjistrim</w:t>
      </w:r>
      <w:r w:rsidRPr="00073C0D">
        <w:rPr>
          <w:rFonts w:ascii="Times New Roman" w:hAnsi="Times New Roman" w:cs="Times New Roman"/>
          <w:sz w:val="24"/>
          <w:szCs w:val="24"/>
        </w:rPr>
        <w:t>”.</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r w:rsidRPr="00073C0D">
        <w:rPr>
          <w:rFonts w:ascii="Times New Roman" w:hAnsi="Times New Roman" w:cs="Times New Roman"/>
          <w:sz w:val="24"/>
          <w:szCs w:val="24"/>
        </w:rPr>
        <w:t>Ndërsa në gërmën (d) përcaktohet se “</w:t>
      </w:r>
      <w:r w:rsidRPr="00073C0D">
        <w:rPr>
          <w:rFonts w:ascii="Times New Roman" w:hAnsi="Times New Roman" w:cs="Times New Roman"/>
          <w:i/>
          <w:sz w:val="24"/>
          <w:szCs w:val="24"/>
        </w:rPr>
        <w:t>Nëse pas afateve të sipërpërmendura, QKB-ja konstaton se tatimpaguesi nuk ka detyrime tatimore të papaguara dhe deklarata tatimore të padorëzuara kryen menjëherë çregjistrimin e subjektit, duke njoftuar në rrugë elektronike administratën tatimore për datën e çregjistrimit të tij</w:t>
      </w:r>
      <w:r w:rsidRPr="00073C0D">
        <w:rPr>
          <w:rFonts w:ascii="Times New Roman" w:hAnsi="Times New Roman" w:cs="Times New Roman"/>
          <w:sz w:val="24"/>
          <w:szCs w:val="24"/>
        </w:rPr>
        <w:t>”.</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r w:rsidRPr="00073C0D">
        <w:rPr>
          <w:rFonts w:ascii="Times New Roman" w:hAnsi="Times New Roman" w:cs="Times New Roman"/>
          <w:sz w:val="24"/>
          <w:szCs w:val="24"/>
        </w:rPr>
        <w:t>Në vijim të rregullave dhe afateve të mësipërme për të drejtën e administratës tatimore për të ushtruar kontroll ndaj personit fizik që aplikon për çregjistrim, Drejtoria e Përgjithshme e Tatimeve ka nxjerrë shkresën nr. 6794/1 prot, datë 27.04.2020 me lëndë “Sqaruese lidhur me procedurat që duhet të ndiqen nga DRT-të gjatë kontrollit për çregjistrimin e subjektit/tatimpaguesve, “vizitës fiskale” dhe të drejtat e tatimpaguesve”. Pasi citon dispozitat e sipërpërmendura, DPT sqaron sa më poshtë:</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p>
    <w:p w:rsidR="00C81C14" w:rsidRPr="00073C0D" w:rsidRDefault="00C81C14" w:rsidP="00073C0D">
      <w:pPr>
        <w:pStyle w:val="Header"/>
        <w:widowControl w:val="0"/>
        <w:tabs>
          <w:tab w:val="left" w:pos="720"/>
        </w:tabs>
        <w:spacing w:line="276" w:lineRule="auto"/>
        <w:jc w:val="both"/>
        <w:rPr>
          <w:rFonts w:ascii="Times New Roman" w:hAnsi="Times New Roman" w:cs="Times New Roman"/>
          <w:i/>
          <w:sz w:val="24"/>
          <w:szCs w:val="24"/>
        </w:rPr>
      </w:pPr>
      <w:r w:rsidRPr="00073C0D">
        <w:rPr>
          <w:rFonts w:ascii="Times New Roman" w:hAnsi="Times New Roman" w:cs="Times New Roman"/>
          <w:i/>
          <w:sz w:val="24"/>
          <w:szCs w:val="24"/>
        </w:rPr>
        <w:t>“Në kuptim të dispozitës ligjore të sipërpërmendur, lidhur me kontrollin në rastet e aplikimit për çregjistrim nga subjektet/tatimpaguesit nga adminisrata tatimore kërkohet dhe është e detyrueshme të zbatohen një sërë kërkesash dhe procedura të mirëpërcaktuara, të cilat i japin administratës tatimore kohën e mjaftueshme për të mos lejuar shmangien nga detyrimet tatimore gjatë procesit të çregjistrimit si dhe ushtrimin e kontrollit nëse shihet e nevojshme.</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i/>
          <w:sz w:val="24"/>
          <w:szCs w:val="24"/>
        </w:rPr>
      </w:pPr>
      <w:r w:rsidRPr="00073C0D">
        <w:rPr>
          <w:rFonts w:ascii="Times New Roman" w:hAnsi="Times New Roman" w:cs="Times New Roman"/>
          <w:i/>
          <w:sz w:val="24"/>
          <w:szCs w:val="24"/>
        </w:rPr>
        <w:t>Pra, nga administrata tatimore, duhet të zbatohet pa vonesë, çdo kërkesë që Ligji 992/2008 përcakton në rastet e aplikimit për çregjistrim të subjekteve/tatimpaguesve.</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i/>
          <w:sz w:val="24"/>
          <w:szCs w:val="24"/>
          <w:u w:val="single"/>
        </w:rPr>
      </w:pPr>
    </w:p>
    <w:p w:rsidR="00C81C14" w:rsidRPr="00073C0D" w:rsidRDefault="00C81C14" w:rsidP="00073C0D">
      <w:pPr>
        <w:pStyle w:val="Header"/>
        <w:widowControl w:val="0"/>
        <w:tabs>
          <w:tab w:val="left" w:pos="720"/>
        </w:tabs>
        <w:spacing w:line="276" w:lineRule="auto"/>
        <w:jc w:val="both"/>
        <w:rPr>
          <w:rFonts w:ascii="Times New Roman" w:hAnsi="Times New Roman" w:cs="Times New Roman"/>
          <w:i/>
          <w:sz w:val="24"/>
          <w:szCs w:val="24"/>
          <w:u w:val="single"/>
        </w:rPr>
      </w:pPr>
      <w:r w:rsidRPr="00073C0D">
        <w:rPr>
          <w:rFonts w:ascii="Times New Roman" w:hAnsi="Times New Roman" w:cs="Times New Roman"/>
          <w:i/>
          <w:sz w:val="24"/>
          <w:szCs w:val="24"/>
          <w:u w:val="single"/>
        </w:rPr>
        <w:t>Ndërkohë, nëse subjekti/tatimpaguesi është çregjistruar nga regjistri tregtar dhe nga ana e administratës tatimore nuk është ushtruar e drejta e kontrollit sipas përcaktimeve ligjore, kjo e drejtë shuhet me kalimin e afateve të përcaktuara nga ligji.</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i/>
          <w:sz w:val="24"/>
          <w:szCs w:val="24"/>
        </w:rPr>
      </w:pPr>
    </w:p>
    <w:p w:rsidR="00C81C14" w:rsidRPr="00073C0D" w:rsidRDefault="00C81C14" w:rsidP="00073C0D">
      <w:pPr>
        <w:pStyle w:val="Header"/>
        <w:widowControl w:val="0"/>
        <w:tabs>
          <w:tab w:val="left" w:pos="720"/>
        </w:tabs>
        <w:spacing w:line="276" w:lineRule="auto"/>
        <w:jc w:val="both"/>
        <w:rPr>
          <w:rFonts w:ascii="Times New Roman" w:hAnsi="Times New Roman" w:cs="Times New Roman"/>
          <w:i/>
          <w:sz w:val="24"/>
          <w:szCs w:val="24"/>
        </w:rPr>
      </w:pPr>
      <w:r w:rsidRPr="00073C0D">
        <w:rPr>
          <w:rFonts w:ascii="Times New Roman" w:hAnsi="Times New Roman" w:cs="Times New Roman"/>
          <w:i/>
          <w:sz w:val="24"/>
          <w:szCs w:val="24"/>
        </w:rPr>
        <w:t>Referuar dispozitave të legjislacionit në fuqi nga strukturat përgjegjëse menaxheriale në DRT duhet të kryhet një analizë përse nuk është vepruar në përputhje me procedurat e kërkuara nga legjislacioni në fuqi”.</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r w:rsidRPr="00073C0D">
        <w:rPr>
          <w:rFonts w:ascii="Times New Roman" w:hAnsi="Times New Roman" w:cs="Times New Roman"/>
          <w:sz w:val="24"/>
          <w:szCs w:val="24"/>
        </w:rPr>
        <w:t xml:space="preserve">Referuar shkresës së mësipërme, e cila është e detyrueshme për zbatim nga drejtoritë rajonale tatimore, në rastin kur tatimpaguesi është çregjistruar nga regjistri tregtar dhe administrata tatimore nuk ka kryer kontrollin brenda afateve të përcaktuara në dispozitat e mësipërme, </w:t>
      </w:r>
      <w:r w:rsidRPr="00AA385C">
        <w:rPr>
          <w:rFonts w:ascii="Times New Roman" w:hAnsi="Times New Roman" w:cs="Times New Roman"/>
          <w:sz w:val="24"/>
          <w:szCs w:val="24"/>
          <w:u w:val="single"/>
        </w:rPr>
        <w:t>e drejta për të ushtruar kontrollin shuhet</w:t>
      </w:r>
      <w:r w:rsidRPr="00073C0D">
        <w:rPr>
          <w:rFonts w:ascii="Times New Roman" w:hAnsi="Times New Roman" w:cs="Times New Roman"/>
          <w:sz w:val="24"/>
          <w:szCs w:val="24"/>
        </w:rPr>
        <w:t>. Ligjvënësi ka parashikuar qartë që afati 30 ditor përfshin të gjithë procesin e kontrollit deri në përfundimin e tij, madje brenda këtij afati është përfshirë dhe pasqyrimi i vlerësimeve të mundshme në situatën e tatimpaguesit.</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r w:rsidRPr="00073C0D">
        <w:rPr>
          <w:rFonts w:ascii="Times New Roman" w:hAnsi="Times New Roman" w:cs="Times New Roman"/>
          <w:sz w:val="24"/>
          <w:szCs w:val="24"/>
        </w:rPr>
        <w:t xml:space="preserve">DAT konstaton se </w:t>
      </w:r>
      <w:r w:rsidR="00A943D1" w:rsidRPr="00073C0D">
        <w:rPr>
          <w:rFonts w:ascii="Times New Roman" w:hAnsi="Times New Roman" w:cs="Times New Roman"/>
          <w:sz w:val="24"/>
          <w:szCs w:val="24"/>
        </w:rPr>
        <w:t>tatimpaguesi</w:t>
      </w:r>
      <w:r w:rsidRPr="00073C0D">
        <w:rPr>
          <w:rFonts w:ascii="Times New Roman" w:hAnsi="Times New Roman" w:cs="Times New Roman"/>
          <w:sz w:val="24"/>
          <w:szCs w:val="24"/>
        </w:rPr>
        <w:t xml:space="preserve"> është </w:t>
      </w:r>
      <w:r w:rsidR="00A943D1" w:rsidRPr="00073C0D">
        <w:rPr>
          <w:rFonts w:ascii="Times New Roman" w:hAnsi="Times New Roman" w:cs="Times New Roman"/>
          <w:sz w:val="24"/>
          <w:szCs w:val="24"/>
        </w:rPr>
        <w:t>çregjistrua</w:t>
      </w:r>
      <w:r w:rsidR="009A6697">
        <w:rPr>
          <w:rFonts w:ascii="Times New Roman" w:hAnsi="Times New Roman" w:cs="Times New Roman"/>
          <w:sz w:val="24"/>
          <w:szCs w:val="24"/>
        </w:rPr>
        <w:t>r</w:t>
      </w:r>
      <w:r w:rsidR="00A943D1" w:rsidRPr="00073C0D">
        <w:rPr>
          <w:rFonts w:ascii="Times New Roman" w:hAnsi="Times New Roman" w:cs="Times New Roman"/>
          <w:sz w:val="24"/>
          <w:szCs w:val="24"/>
        </w:rPr>
        <w:t xml:space="preserve"> </w:t>
      </w:r>
      <w:r w:rsidRPr="00073C0D">
        <w:rPr>
          <w:rFonts w:ascii="Times New Roman" w:hAnsi="Times New Roman" w:cs="Times New Roman"/>
          <w:sz w:val="24"/>
          <w:szCs w:val="24"/>
        </w:rPr>
        <w:t xml:space="preserve">nga Qendra Kombëtare e Biznesit në datën </w:t>
      </w:r>
      <w:r w:rsidR="00A943D1" w:rsidRPr="00073C0D">
        <w:rPr>
          <w:rFonts w:ascii="Times New Roman" w:hAnsi="Times New Roman" w:cs="Times New Roman"/>
          <w:sz w:val="24"/>
          <w:szCs w:val="24"/>
        </w:rPr>
        <w:t>23.06.2017</w:t>
      </w:r>
      <w:r w:rsidRPr="00073C0D">
        <w:rPr>
          <w:rFonts w:ascii="Times New Roman" w:hAnsi="Times New Roman" w:cs="Times New Roman"/>
          <w:sz w:val="24"/>
          <w:szCs w:val="24"/>
        </w:rPr>
        <w:t>. Nëse administrata tatimore do t’a gjykonte të nevojshme të ushtronte kontroll ndaj tatimpaguesit, ky kontroll dhe pasqyrimi i tij në situatën e tatimpaguesit nuk mund të zgjaste më shumë se 30 ditë pune</w:t>
      </w:r>
      <w:r w:rsidR="00A943D1" w:rsidRPr="00073C0D">
        <w:rPr>
          <w:rFonts w:ascii="Times New Roman" w:hAnsi="Times New Roman" w:cs="Times New Roman"/>
          <w:sz w:val="24"/>
          <w:szCs w:val="24"/>
        </w:rPr>
        <w:t xml:space="preserve"> nga momenti i aplikimit</w:t>
      </w:r>
      <w:r w:rsidRPr="00073C0D">
        <w:rPr>
          <w:rFonts w:ascii="Times New Roman" w:hAnsi="Times New Roman" w:cs="Times New Roman"/>
          <w:sz w:val="24"/>
          <w:szCs w:val="24"/>
        </w:rPr>
        <w:t xml:space="preserve">. </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r w:rsidRPr="00073C0D">
        <w:rPr>
          <w:rFonts w:ascii="Times New Roman" w:hAnsi="Times New Roman" w:cs="Times New Roman"/>
          <w:sz w:val="24"/>
          <w:szCs w:val="24"/>
        </w:rPr>
        <w:t xml:space="preserve">Referuar dispozitave të mësipërme dhe shkresës nr. 6794/1 prot, datë 27.04.2020 të DPT-së, e drejta e administratës tatimore për të ushtruar kontrollin është shuar </w:t>
      </w:r>
      <w:r w:rsidR="00A943D1" w:rsidRPr="00073C0D">
        <w:rPr>
          <w:rFonts w:ascii="Times New Roman" w:hAnsi="Times New Roman" w:cs="Times New Roman"/>
          <w:sz w:val="24"/>
          <w:szCs w:val="24"/>
        </w:rPr>
        <w:t xml:space="preserve">30 ditë pas kërkesës për </w:t>
      </w:r>
      <w:r w:rsidR="00A943D1" w:rsidRPr="00073C0D">
        <w:rPr>
          <w:rFonts w:ascii="Times New Roman" w:hAnsi="Times New Roman" w:cs="Times New Roman"/>
          <w:sz w:val="24"/>
          <w:szCs w:val="24"/>
        </w:rPr>
        <w:lastRenderedPageBreak/>
        <w:t xml:space="preserve">çregjistrim dhe </w:t>
      </w:r>
      <w:r w:rsidRPr="00073C0D">
        <w:rPr>
          <w:rFonts w:ascii="Times New Roman" w:hAnsi="Times New Roman" w:cs="Times New Roman"/>
          <w:sz w:val="24"/>
          <w:szCs w:val="24"/>
        </w:rPr>
        <w:t xml:space="preserve">pas kësaj date, </w:t>
      </w:r>
      <w:r w:rsidR="009A6697">
        <w:rPr>
          <w:rFonts w:ascii="Times New Roman" w:hAnsi="Times New Roman" w:cs="Times New Roman"/>
          <w:sz w:val="24"/>
          <w:szCs w:val="24"/>
        </w:rPr>
        <w:t>administrata tatimore</w:t>
      </w:r>
      <w:r w:rsidR="006B79D6">
        <w:rPr>
          <w:rFonts w:ascii="Times New Roman" w:hAnsi="Times New Roman" w:cs="Times New Roman"/>
          <w:sz w:val="24"/>
          <w:szCs w:val="24"/>
        </w:rPr>
        <w:t xml:space="preserve"> </w:t>
      </w:r>
      <w:r w:rsidRPr="00073C0D">
        <w:rPr>
          <w:rFonts w:ascii="Times New Roman" w:hAnsi="Times New Roman" w:cs="Times New Roman"/>
          <w:sz w:val="24"/>
          <w:szCs w:val="24"/>
        </w:rPr>
        <w:t xml:space="preserve">nuk ka patur të drejtë të kontrollojë dhe as të vlerësojë tatimpaguesin. Ndërkohë, që </w:t>
      </w:r>
      <w:r w:rsidR="00A943D1" w:rsidRPr="00073C0D">
        <w:rPr>
          <w:rFonts w:ascii="Times New Roman" w:hAnsi="Times New Roman" w:cs="Times New Roman"/>
          <w:sz w:val="24"/>
          <w:szCs w:val="24"/>
          <w:shd w:val="clear" w:color="auto" w:fill="FFFFFF"/>
        </w:rPr>
        <w:t>Akt Verifikimi nga Zyra mban datën 24.02.2022</w:t>
      </w:r>
      <w:r w:rsidRPr="00073C0D">
        <w:rPr>
          <w:rFonts w:ascii="Times New Roman" w:hAnsi="Times New Roman" w:cs="Times New Roman"/>
          <w:sz w:val="24"/>
          <w:szCs w:val="24"/>
        </w:rPr>
        <w:t xml:space="preserve">, ndërsa njoftim vlerësimi mban datën </w:t>
      </w:r>
      <w:r w:rsidR="00E419A3" w:rsidRPr="00073C0D">
        <w:rPr>
          <w:rFonts w:ascii="Times New Roman" w:hAnsi="Times New Roman" w:cs="Times New Roman"/>
          <w:sz w:val="24"/>
          <w:szCs w:val="24"/>
        </w:rPr>
        <w:t>04.03.2022</w:t>
      </w:r>
      <w:r w:rsidRPr="00073C0D">
        <w:rPr>
          <w:rFonts w:ascii="Times New Roman" w:hAnsi="Times New Roman" w:cs="Times New Roman"/>
          <w:sz w:val="24"/>
          <w:szCs w:val="24"/>
        </w:rPr>
        <w:t xml:space="preserve">, pra </w:t>
      </w:r>
      <w:r w:rsidR="00AA385C">
        <w:rPr>
          <w:rFonts w:ascii="Times New Roman" w:hAnsi="Times New Roman" w:cs="Times New Roman"/>
          <w:sz w:val="24"/>
          <w:szCs w:val="24"/>
        </w:rPr>
        <w:t>pas çregjistrimit të tatimpaguesit dhe përtej afateve</w:t>
      </w:r>
      <w:r w:rsidRPr="00073C0D">
        <w:rPr>
          <w:rFonts w:ascii="Times New Roman" w:hAnsi="Times New Roman" w:cs="Times New Roman"/>
          <w:sz w:val="24"/>
          <w:szCs w:val="24"/>
        </w:rPr>
        <w:t xml:space="preserve"> </w:t>
      </w:r>
      <w:r w:rsidR="00AA385C">
        <w:rPr>
          <w:rFonts w:ascii="Times New Roman" w:hAnsi="Times New Roman" w:cs="Times New Roman"/>
          <w:sz w:val="24"/>
          <w:szCs w:val="24"/>
        </w:rPr>
        <w:t>të mësipërme</w:t>
      </w:r>
      <w:r w:rsidRPr="00073C0D">
        <w:rPr>
          <w:rFonts w:ascii="Times New Roman" w:hAnsi="Times New Roman" w:cs="Times New Roman"/>
          <w:sz w:val="24"/>
          <w:szCs w:val="24"/>
        </w:rPr>
        <w:t xml:space="preserve">. Administrata tatimore nuk ka përfunduar kontrollin brenda 30 ditëve pune nga momenti i aplikimit për çregjistrim, por kontrolli ka përfunduar dhe njoftim vlerësimi është nxjerrë pasi tatimpaguesi është çregjistruar në QKB. </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r w:rsidRPr="00073C0D">
        <w:rPr>
          <w:rFonts w:ascii="Times New Roman" w:hAnsi="Times New Roman" w:cs="Times New Roman"/>
          <w:sz w:val="24"/>
          <w:szCs w:val="24"/>
        </w:rPr>
        <w:t xml:space="preserve">Drejtoria e Apelimit Tatimor thekson se zbatimi i procedurave dhe afateve të përcaktuara në legjislacionin tatimor është një ndër elementët thelbësorë të aktit administrativ, pasi  moszbatimi i saktë i tyre passjell pavlefshmërinë e aktit dhe pasojave juridike që duhet të sjellë ky akt. </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r w:rsidRPr="00073C0D">
        <w:rPr>
          <w:rFonts w:ascii="Times New Roman" w:hAnsi="Times New Roman" w:cs="Times New Roman"/>
          <w:sz w:val="24"/>
          <w:szCs w:val="24"/>
        </w:rPr>
        <w:t xml:space="preserve">Duke qënë se </w:t>
      </w:r>
      <w:r w:rsidR="009A6697">
        <w:rPr>
          <w:rFonts w:ascii="Times New Roman" w:hAnsi="Times New Roman" w:cs="Times New Roman"/>
          <w:sz w:val="24"/>
          <w:szCs w:val="24"/>
        </w:rPr>
        <w:t>administrata tatimore</w:t>
      </w:r>
      <w:r w:rsidRPr="00073C0D">
        <w:rPr>
          <w:rFonts w:ascii="Times New Roman" w:hAnsi="Times New Roman" w:cs="Times New Roman"/>
          <w:sz w:val="24"/>
          <w:szCs w:val="24"/>
        </w:rPr>
        <w:t xml:space="preserve"> ka përfunduar kontrollin dhe ka nxjerrë detyrimet tatimore pas afatit prej 30 ditësh pune nga momenti i aplikimit për çregjistrim dhe pasi tatimpaguesi është çregjistruar nga QKB - pra pasi i është shuar kjo e drejtë - DAT e konsideron të drejtë ankimin dhe shfuqizon njoftim vlerësimin, duke theksuar se ky akt është nxjerrë në kundërshtim me procedurat dhe afatet e përcaktuara në pikën 3.3 të nenit 45 të Ligjit nr. 9920, datë 19.05.2008 “Për Procedurat Tatimore në RSH”.</w:t>
      </w: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p>
    <w:p w:rsidR="00C81C14" w:rsidRPr="00073C0D" w:rsidRDefault="00C81C14" w:rsidP="00073C0D">
      <w:pPr>
        <w:pStyle w:val="Header"/>
        <w:widowControl w:val="0"/>
        <w:tabs>
          <w:tab w:val="left" w:pos="720"/>
        </w:tabs>
        <w:spacing w:line="276" w:lineRule="auto"/>
        <w:jc w:val="both"/>
        <w:rPr>
          <w:rFonts w:ascii="Times New Roman" w:hAnsi="Times New Roman" w:cs="Times New Roman"/>
          <w:sz w:val="24"/>
          <w:szCs w:val="24"/>
        </w:rPr>
      </w:pPr>
      <w:r w:rsidRPr="00073C0D">
        <w:rPr>
          <w:rFonts w:ascii="Times New Roman" w:hAnsi="Times New Roman" w:cs="Times New Roman"/>
          <w:sz w:val="24"/>
          <w:szCs w:val="24"/>
        </w:rPr>
        <w:t>Ashtu siç është përcaktuar në shkresën nr. 6794/1 prot, datë 27.04.2020 të DPT-së, është detyrë e drejtorisë rajonale tatimore të analizojë shkaqet e mosrespektimit të procedurave dhe afateve të përcaktuara në dispozitat e mësipërme.</w:t>
      </w:r>
    </w:p>
    <w:p w:rsidR="00AA385C" w:rsidRPr="00073C0D" w:rsidRDefault="00AA385C" w:rsidP="00073C0D">
      <w:pPr>
        <w:widowControl w:val="0"/>
        <w:spacing w:after="0" w:line="276" w:lineRule="auto"/>
        <w:jc w:val="both"/>
        <w:rPr>
          <w:rFonts w:ascii="Times New Roman" w:eastAsia="SimSun" w:hAnsi="Times New Roman" w:cs="Times New Roman"/>
          <w:sz w:val="24"/>
          <w:szCs w:val="24"/>
          <w:lang w:eastAsia="zh-CN"/>
        </w:rPr>
      </w:pPr>
    </w:p>
    <w:p w:rsidR="001A6AD8" w:rsidRPr="00073C0D" w:rsidRDefault="00F519C2" w:rsidP="00073C0D">
      <w:pPr>
        <w:widowControl w:val="0"/>
        <w:spacing w:after="0" w:line="276" w:lineRule="auto"/>
        <w:jc w:val="both"/>
        <w:rPr>
          <w:rFonts w:ascii="Times New Roman" w:hAnsi="Times New Roman"/>
          <w:sz w:val="24"/>
          <w:szCs w:val="24"/>
        </w:rPr>
      </w:pPr>
      <w:r w:rsidRPr="00073C0D">
        <w:rPr>
          <w:rFonts w:ascii="Times New Roman" w:hAnsi="Times New Roman"/>
          <w:sz w:val="24"/>
          <w:szCs w:val="24"/>
        </w:rPr>
        <w:t>Sa më sipër, Drejtoria e Apelimit Tatimor, në zbatim të nenit 108, pika 3 gërma (a) të Ligjit Nr. 9920 datë 19.05.2008, “Për Procedurat Tatimore në R.SH” dhe pikës 108.3.3 gërma (b), të Udhëzimit nr. 24</w:t>
      </w:r>
      <w:r w:rsidR="0018725F" w:rsidRPr="00073C0D">
        <w:rPr>
          <w:rFonts w:ascii="Times New Roman" w:hAnsi="Times New Roman"/>
          <w:sz w:val="24"/>
          <w:szCs w:val="24"/>
        </w:rPr>
        <w:t>,</w:t>
      </w:r>
      <w:r w:rsidRPr="00073C0D">
        <w:rPr>
          <w:rFonts w:ascii="Times New Roman" w:hAnsi="Times New Roman"/>
          <w:sz w:val="24"/>
          <w:szCs w:val="24"/>
        </w:rPr>
        <w:t xml:space="preserve"> datë 02.09.2008, i nxjerrë në zbatim të këtij ligji,</w:t>
      </w:r>
    </w:p>
    <w:p w:rsidR="006B79D6" w:rsidRDefault="006B79D6" w:rsidP="00073C0D">
      <w:pPr>
        <w:widowControl w:val="0"/>
        <w:spacing w:after="0" w:line="276" w:lineRule="auto"/>
        <w:jc w:val="center"/>
        <w:rPr>
          <w:rFonts w:ascii="Times New Roman" w:hAnsi="Times New Roman"/>
          <w:b/>
          <w:sz w:val="24"/>
          <w:szCs w:val="24"/>
        </w:rPr>
      </w:pPr>
    </w:p>
    <w:p w:rsidR="001A6AD8" w:rsidRPr="00073C0D" w:rsidRDefault="001A6AD8" w:rsidP="00073C0D">
      <w:pPr>
        <w:widowControl w:val="0"/>
        <w:spacing w:after="0" w:line="276" w:lineRule="auto"/>
        <w:jc w:val="center"/>
        <w:rPr>
          <w:rFonts w:ascii="Times New Roman" w:hAnsi="Times New Roman"/>
          <w:b/>
          <w:sz w:val="24"/>
          <w:szCs w:val="24"/>
        </w:rPr>
      </w:pPr>
      <w:r w:rsidRPr="00073C0D">
        <w:rPr>
          <w:rFonts w:ascii="Times New Roman" w:hAnsi="Times New Roman"/>
          <w:b/>
          <w:sz w:val="24"/>
          <w:szCs w:val="24"/>
        </w:rPr>
        <w:t>V E N D O S I</w:t>
      </w:r>
    </w:p>
    <w:p w:rsidR="008C5DD7" w:rsidRPr="00073C0D" w:rsidRDefault="008C5DD7" w:rsidP="00073C0D">
      <w:pPr>
        <w:widowControl w:val="0"/>
        <w:spacing w:after="0" w:line="276" w:lineRule="auto"/>
        <w:jc w:val="both"/>
        <w:rPr>
          <w:rFonts w:ascii="Times New Roman" w:hAnsi="Times New Roman"/>
          <w:sz w:val="24"/>
          <w:szCs w:val="24"/>
        </w:rPr>
      </w:pPr>
    </w:p>
    <w:p w:rsidR="00E419A3" w:rsidRDefault="00C81C14" w:rsidP="00073C0D">
      <w:pPr>
        <w:pStyle w:val="ListParagraph"/>
        <w:widowControl w:val="0"/>
        <w:numPr>
          <w:ilvl w:val="0"/>
          <w:numId w:val="31"/>
        </w:numPr>
        <w:spacing w:after="0" w:line="276" w:lineRule="auto"/>
        <w:jc w:val="both"/>
        <w:rPr>
          <w:rFonts w:ascii="Times New Roman" w:hAnsi="Times New Roman" w:cs="Times New Roman"/>
          <w:sz w:val="24"/>
          <w:szCs w:val="24"/>
        </w:rPr>
      </w:pPr>
      <w:r w:rsidRPr="00073C0D">
        <w:rPr>
          <w:rFonts w:ascii="Times New Roman" w:hAnsi="Times New Roman"/>
          <w:b/>
          <w:sz w:val="24"/>
          <w:szCs w:val="24"/>
        </w:rPr>
        <w:t>Shfuqizimin e</w:t>
      </w:r>
      <w:r w:rsidR="000D1B22" w:rsidRPr="00073C0D">
        <w:rPr>
          <w:rFonts w:ascii="Times New Roman" w:hAnsi="Times New Roman"/>
          <w:b/>
          <w:sz w:val="24"/>
          <w:szCs w:val="24"/>
        </w:rPr>
        <w:t xml:space="preserve"> aktit administrativ</w:t>
      </w:r>
      <w:r w:rsidR="00F519C2" w:rsidRPr="00073C0D">
        <w:rPr>
          <w:rFonts w:ascii="Times New Roman" w:hAnsi="Times New Roman"/>
          <w:sz w:val="24"/>
          <w:szCs w:val="24"/>
        </w:rPr>
        <w:t>,</w:t>
      </w:r>
      <w:r w:rsidR="000D1B22" w:rsidRPr="00073C0D">
        <w:rPr>
          <w:rFonts w:ascii="Times New Roman" w:hAnsi="Times New Roman"/>
          <w:sz w:val="24"/>
          <w:szCs w:val="24"/>
        </w:rPr>
        <w:t xml:space="preserve"> Njoftim Vlerësimit</w:t>
      </w:r>
      <w:r w:rsidR="00E419A3" w:rsidRPr="00073C0D">
        <w:rPr>
          <w:rFonts w:ascii="Times New Roman" w:hAnsi="Times New Roman" w:cs="Times New Roman"/>
          <w:sz w:val="24"/>
          <w:szCs w:val="24"/>
        </w:rPr>
        <w:t xml:space="preserve">, </w:t>
      </w:r>
      <w:r w:rsidR="009A6697">
        <w:rPr>
          <w:rFonts w:ascii="Times New Roman" w:hAnsi="Times New Roman" w:cs="Times New Roman"/>
          <w:sz w:val="24"/>
          <w:szCs w:val="24"/>
        </w:rPr>
        <w:t xml:space="preserve">per detyrimet </w:t>
      </w:r>
      <w:r w:rsidR="00E419A3" w:rsidRPr="00073C0D">
        <w:rPr>
          <w:rFonts w:ascii="Times New Roman" w:hAnsi="Times New Roman" w:cs="Times New Roman"/>
          <w:sz w:val="24"/>
          <w:szCs w:val="24"/>
        </w:rPr>
        <w:t>s</w:t>
      </w:r>
      <w:r w:rsidR="009A6697">
        <w:rPr>
          <w:rFonts w:ascii="Times New Roman" w:hAnsi="Times New Roman" w:cs="Times New Roman"/>
          <w:sz w:val="24"/>
          <w:szCs w:val="24"/>
        </w:rPr>
        <w:t>i</w:t>
      </w:r>
      <w:r w:rsidR="00E419A3" w:rsidRPr="00073C0D">
        <w:rPr>
          <w:rFonts w:ascii="Times New Roman" w:hAnsi="Times New Roman" w:cs="Times New Roman"/>
          <w:sz w:val="24"/>
          <w:szCs w:val="24"/>
        </w:rPr>
        <w:t xml:space="preserve"> më poshtë:</w:t>
      </w:r>
    </w:p>
    <w:p w:rsidR="00AA385C" w:rsidRDefault="00AA385C" w:rsidP="00AA385C">
      <w:pPr>
        <w:pStyle w:val="ListParagraph"/>
        <w:widowControl w:val="0"/>
        <w:spacing w:after="0" w:line="276" w:lineRule="auto"/>
        <w:jc w:val="both"/>
        <w:rPr>
          <w:rFonts w:ascii="Times New Roman" w:hAnsi="Times New Roman" w:cs="Times New Roman"/>
          <w:sz w:val="24"/>
          <w:szCs w:val="24"/>
        </w:rPr>
      </w:pPr>
    </w:p>
    <w:tbl>
      <w:tblPr>
        <w:tblW w:w="4890" w:type="pct"/>
        <w:tblLook w:val="04A0" w:firstRow="1" w:lastRow="0" w:firstColumn="1" w:lastColumn="0" w:noHBand="0" w:noVBand="1"/>
      </w:tblPr>
      <w:tblGrid>
        <w:gridCol w:w="1243"/>
        <w:gridCol w:w="1134"/>
        <w:gridCol w:w="1275"/>
        <w:gridCol w:w="1276"/>
        <w:gridCol w:w="1989"/>
        <w:gridCol w:w="2123"/>
      </w:tblGrid>
      <w:tr w:rsidR="00AA385C" w:rsidRPr="00073C0D" w:rsidTr="00B25D4D">
        <w:trPr>
          <w:trHeight w:val="20"/>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385C" w:rsidRPr="00073C0D" w:rsidRDefault="00AA385C" w:rsidP="00B25D4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Tatimi</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AA385C" w:rsidRPr="00073C0D" w:rsidRDefault="00AA385C" w:rsidP="00B25D4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Periudha</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AA385C" w:rsidRPr="00073C0D" w:rsidRDefault="00AA385C" w:rsidP="00B25D4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Detyrim</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AA385C" w:rsidRPr="00073C0D" w:rsidRDefault="00AA385C" w:rsidP="00B25D4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Kamatë-</w:t>
            </w:r>
          </w:p>
          <w:p w:rsidR="00AA385C" w:rsidRPr="00073C0D" w:rsidRDefault="00AA385C" w:rsidP="00B25D4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vonesa</w:t>
            </w:r>
          </w:p>
        </w:tc>
        <w:tc>
          <w:tcPr>
            <w:tcW w:w="1100" w:type="pct"/>
            <w:tcBorders>
              <w:top w:val="single" w:sz="4" w:space="0" w:color="auto"/>
              <w:left w:val="nil"/>
              <w:bottom w:val="single" w:sz="4" w:space="0" w:color="auto"/>
              <w:right w:val="single" w:sz="4" w:space="0" w:color="auto"/>
            </w:tcBorders>
            <w:shd w:val="clear" w:color="auto" w:fill="auto"/>
            <w:vAlign w:val="center"/>
            <w:hideMark/>
          </w:tcPr>
          <w:p w:rsidR="00AA385C" w:rsidRPr="00073C0D" w:rsidRDefault="00AA385C" w:rsidP="00B25D4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Gjobë për pages</w:t>
            </w:r>
            <w:r>
              <w:rPr>
                <w:rFonts w:ascii="Times New Roman" w:eastAsia="Times New Roman" w:hAnsi="Times New Roman" w:cs="Times New Roman"/>
                <w:b/>
                <w:color w:val="000000"/>
              </w:rPr>
              <w:t>ë</w:t>
            </w:r>
            <w:r w:rsidRPr="00073C0D">
              <w:rPr>
                <w:rFonts w:ascii="Times New Roman" w:eastAsia="Times New Roman" w:hAnsi="Times New Roman" w:cs="Times New Roman"/>
                <w:b/>
                <w:color w:val="000000"/>
              </w:rPr>
              <w:t xml:space="preserve"> </w:t>
            </w:r>
          </w:p>
          <w:p w:rsidR="00AA385C" w:rsidRPr="00073C0D" w:rsidRDefault="00AA385C" w:rsidP="00B25D4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të vonuar</w:t>
            </w:r>
          </w:p>
        </w:tc>
        <w:tc>
          <w:tcPr>
            <w:tcW w:w="1174" w:type="pct"/>
            <w:tcBorders>
              <w:top w:val="single" w:sz="4" w:space="0" w:color="auto"/>
              <w:left w:val="nil"/>
              <w:bottom w:val="single" w:sz="4" w:space="0" w:color="auto"/>
              <w:right w:val="single" w:sz="4" w:space="0" w:color="auto"/>
            </w:tcBorders>
            <w:shd w:val="clear" w:color="auto" w:fill="auto"/>
            <w:vAlign w:val="center"/>
            <w:hideMark/>
          </w:tcPr>
          <w:p w:rsidR="00AA385C" w:rsidRPr="00073C0D" w:rsidRDefault="00AA385C" w:rsidP="00B25D4D">
            <w:pPr>
              <w:widowControl w:val="0"/>
              <w:spacing w:after="0" w:line="276" w:lineRule="auto"/>
              <w:jc w:val="center"/>
              <w:rPr>
                <w:rFonts w:ascii="Times New Roman" w:eastAsia="Times New Roman" w:hAnsi="Times New Roman" w:cs="Times New Roman"/>
                <w:b/>
                <w:color w:val="000000"/>
              </w:rPr>
            </w:pPr>
            <w:r w:rsidRPr="00073C0D">
              <w:rPr>
                <w:rFonts w:ascii="Times New Roman" w:eastAsia="Times New Roman" w:hAnsi="Times New Roman" w:cs="Times New Roman"/>
                <w:b/>
                <w:color w:val="000000"/>
              </w:rPr>
              <w:t>Gjobë për deklarim të pasaktë</w:t>
            </w:r>
          </w:p>
        </w:tc>
      </w:tr>
      <w:tr w:rsidR="00AA385C" w:rsidRPr="00073C0D" w:rsidTr="00B25D4D">
        <w:trPr>
          <w:trHeight w:val="20"/>
        </w:trPr>
        <w:tc>
          <w:tcPr>
            <w:tcW w:w="688" w:type="pct"/>
            <w:tcBorders>
              <w:top w:val="nil"/>
              <w:left w:val="single" w:sz="4" w:space="0" w:color="auto"/>
              <w:bottom w:val="single" w:sz="4" w:space="0" w:color="auto"/>
              <w:right w:val="single" w:sz="4" w:space="0" w:color="auto"/>
            </w:tcBorders>
            <w:shd w:val="clear" w:color="auto" w:fill="auto"/>
            <w:vAlign w:val="center"/>
            <w:hideMark/>
          </w:tcPr>
          <w:p w:rsidR="00AA385C" w:rsidRPr="00073C0D" w:rsidRDefault="00AA385C" w:rsidP="00B25D4D">
            <w:pPr>
              <w:widowControl w:val="0"/>
              <w:spacing w:after="0" w:line="276" w:lineRule="auto"/>
              <w:jc w:val="center"/>
              <w:rPr>
                <w:rFonts w:ascii="Times New Roman" w:eastAsia="Times New Roman" w:hAnsi="Times New Roman" w:cs="Times New Roman"/>
                <w:color w:val="000000"/>
              </w:rPr>
            </w:pPr>
            <w:r w:rsidRPr="00073C0D">
              <w:rPr>
                <w:rFonts w:ascii="Times New Roman" w:eastAsia="Times New Roman" w:hAnsi="Times New Roman" w:cs="Times New Roman"/>
                <w:color w:val="000000"/>
              </w:rPr>
              <w:t>TVSH</w:t>
            </w:r>
          </w:p>
        </w:tc>
        <w:tc>
          <w:tcPr>
            <w:tcW w:w="627" w:type="pct"/>
            <w:tcBorders>
              <w:top w:val="nil"/>
              <w:left w:val="nil"/>
              <w:bottom w:val="single" w:sz="4" w:space="0" w:color="auto"/>
              <w:right w:val="single" w:sz="4" w:space="0" w:color="auto"/>
            </w:tcBorders>
            <w:shd w:val="clear" w:color="auto" w:fill="auto"/>
            <w:vAlign w:val="center"/>
            <w:hideMark/>
          </w:tcPr>
          <w:p w:rsidR="00AA385C" w:rsidRPr="00073C0D" w:rsidRDefault="00AA385C" w:rsidP="00B25D4D">
            <w:pPr>
              <w:widowControl w:val="0"/>
              <w:spacing w:after="0" w:line="276" w:lineRule="auto"/>
              <w:jc w:val="center"/>
              <w:rPr>
                <w:rFonts w:ascii="Times New Roman" w:eastAsia="Times New Roman" w:hAnsi="Times New Roman" w:cs="Times New Roman"/>
                <w:color w:val="000000"/>
              </w:rPr>
            </w:pPr>
            <w:r w:rsidRPr="00073C0D">
              <w:rPr>
                <w:rFonts w:ascii="Times New Roman" w:eastAsia="Times New Roman" w:hAnsi="Times New Roman" w:cs="Times New Roman"/>
                <w:color w:val="000000"/>
              </w:rPr>
              <w:t>201704</w:t>
            </w:r>
          </w:p>
        </w:tc>
        <w:tc>
          <w:tcPr>
            <w:tcW w:w="705" w:type="pct"/>
            <w:tcBorders>
              <w:top w:val="nil"/>
              <w:left w:val="nil"/>
              <w:bottom w:val="single" w:sz="4" w:space="0" w:color="auto"/>
              <w:right w:val="single" w:sz="4" w:space="0" w:color="auto"/>
            </w:tcBorders>
            <w:shd w:val="clear" w:color="auto" w:fill="auto"/>
            <w:vAlign w:val="center"/>
            <w:hideMark/>
          </w:tcPr>
          <w:p w:rsidR="00AA385C" w:rsidRPr="00073C0D" w:rsidRDefault="00AA385C" w:rsidP="00B25D4D">
            <w:pPr>
              <w:widowControl w:val="0"/>
              <w:spacing w:after="0" w:line="276" w:lineRule="auto"/>
              <w:jc w:val="center"/>
              <w:rPr>
                <w:rFonts w:ascii="Times New Roman" w:eastAsia="Times New Roman" w:hAnsi="Times New Roman" w:cs="Times New Roman"/>
                <w:color w:val="000000"/>
              </w:rPr>
            </w:pPr>
            <w:r w:rsidRPr="00073C0D">
              <w:rPr>
                <w:rFonts w:ascii="Times New Roman" w:eastAsia="Times New Roman" w:hAnsi="Times New Roman" w:cs="Times New Roman"/>
                <w:color w:val="000000"/>
              </w:rPr>
              <w:t>702,969</w:t>
            </w:r>
          </w:p>
        </w:tc>
        <w:tc>
          <w:tcPr>
            <w:tcW w:w="706" w:type="pct"/>
            <w:tcBorders>
              <w:top w:val="nil"/>
              <w:left w:val="nil"/>
              <w:bottom w:val="single" w:sz="4" w:space="0" w:color="auto"/>
              <w:right w:val="single" w:sz="4" w:space="0" w:color="auto"/>
            </w:tcBorders>
            <w:shd w:val="clear" w:color="auto" w:fill="auto"/>
            <w:noWrap/>
            <w:vAlign w:val="center"/>
            <w:hideMark/>
          </w:tcPr>
          <w:p w:rsidR="00AA385C" w:rsidRPr="00073C0D" w:rsidRDefault="00AA385C" w:rsidP="00B25D4D">
            <w:pPr>
              <w:widowControl w:val="0"/>
              <w:spacing w:after="0" w:line="276" w:lineRule="auto"/>
              <w:jc w:val="center"/>
              <w:rPr>
                <w:rFonts w:ascii="Times New Roman" w:eastAsia="Times New Roman" w:hAnsi="Times New Roman" w:cs="Times New Roman"/>
                <w:color w:val="000000"/>
              </w:rPr>
            </w:pPr>
            <w:r w:rsidRPr="00073C0D">
              <w:rPr>
                <w:rFonts w:ascii="Times New Roman" w:eastAsia="Times New Roman" w:hAnsi="Times New Roman" w:cs="Times New Roman"/>
                <w:color w:val="000000"/>
              </w:rPr>
              <w:t>197,906</w:t>
            </w:r>
          </w:p>
        </w:tc>
        <w:tc>
          <w:tcPr>
            <w:tcW w:w="1100" w:type="pct"/>
            <w:tcBorders>
              <w:top w:val="nil"/>
              <w:left w:val="nil"/>
              <w:bottom w:val="single" w:sz="4" w:space="0" w:color="auto"/>
              <w:right w:val="single" w:sz="4" w:space="0" w:color="auto"/>
            </w:tcBorders>
            <w:shd w:val="clear" w:color="auto" w:fill="auto"/>
            <w:vAlign w:val="center"/>
            <w:hideMark/>
          </w:tcPr>
          <w:p w:rsidR="00AA385C" w:rsidRPr="00073C0D" w:rsidRDefault="00AA385C" w:rsidP="00B25D4D">
            <w:pPr>
              <w:widowControl w:val="0"/>
              <w:spacing w:after="0" w:line="276" w:lineRule="auto"/>
              <w:jc w:val="center"/>
              <w:rPr>
                <w:rFonts w:ascii="Times New Roman" w:eastAsia="Times New Roman" w:hAnsi="Times New Roman" w:cs="Times New Roman"/>
                <w:color w:val="000000"/>
              </w:rPr>
            </w:pPr>
            <w:r w:rsidRPr="00073C0D">
              <w:rPr>
                <w:rFonts w:ascii="Times New Roman" w:eastAsia="Times New Roman" w:hAnsi="Times New Roman" w:cs="Times New Roman"/>
                <w:color w:val="000000"/>
              </w:rPr>
              <w:t>153,950</w:t>
            </w:r>
          </w:p>
        </w:tc>
        <w:tc>
          <w:tcPr>
            <w:tcW w:w="1174" w:type="pct"/>
            <w:tcBorders>
              <w:top w:val="nil"/>
              <w:left w:val="nil"/>
              <w:bottom w:val="single" w:sz="4" w:space="0" w:color="auto"/>
              <w:right w:val="single" w:sz="4" w:space="0" w:color="auto"/>
            </w:tcBorders>
            <w:shd w:val="clear" w:color="auto" w:fill="auto"/>
            <w:vAlign w:val="center"/>
            <w:hideMark/>
          </w:tcPr>
          <w:p w:rsidR="00AA385C" w:rsidRPr="00073C0D" w:rsidRDefault="00AA385C" w:rsidP="00B25D4D">
            <w:pPr>
              <w:widowControl w:val="0"/>
              <w:spacing w:after="0" w:line="276" w:lineRule="auto"/>
              <w:jc w:val="center"/>
              <w:rPr>
                <w:rFonts w:ascii="Times New Roman" w:eastAsia="Times New Roman" w:hAnsi="Times New Roman" w:cs="Times New Roman"/>
                <w:color w:val="000000"/>
              </w:rPr>
            </w:pPr>
            <w:r w:rsidRPr="00073C0D">
              <w:rPr>
                <w:rFonts w:ascii="Times New Roman" w:eastAsia="Times New Roman" w:hAnsi="Times New Roman" w:cs="Times New Roman"/>
                <w:color w:val="000000"/>
              </w:rPr>
              <w:t>702,968</w:t>
            </w:r>
          </w:p>
        </w:tc>
      </w:tr>
    </w:tbl>
    <w:p w:rsidR="008D4B3D" w:rsidRPr="00073C0D" w:rsidRDefault="008D4B3D" w:rsidP="00073C0D">
      <w:pPr>
        <w:pStyle w:val="ListParagraph"/>
        <w:widowControl w:val="0"/>
        <w:spacing w:after="0" w:line="276" w:lineRule="auto"/>
        <w:jc w:val="both"/>
        <w:rPr>
          <w:rFonts w:ascii="Times New Roman" w:hAnsi="Times New Roman"/>
          <w:sz w:val="24"/>
          <w:szCs w:val="24"/>
        </w:rPr>
      </w:pPr>
    </w:p>
    <w:p w:rsidR="008E65AE" w:rsidRPr="00073C0D" w:rsidRDefault="008E65AE" w:rsidP="00073C0D">
      <w:pPr>
        <w:pStyle w:val="Subtitle"/>
        <w:widowControl w:val="0"/>
        <w:spacing w:line="276" w:lineRule="auto"/>
        <w:jc w:val="both"/>
        <w:rPr>
          <w:b w:val="0"/>
          <w:lang w:val="sq-AL"/>
        </w:rPr>
      </w:pPr>
      <w:r w:rsidRPr="00073C0D">
        <w:rPr>
          <w:b w:val="0"/>
          <w:lang w:val="sq-AL"/>
        </w:rPr>
        <w:t>Në zbatim të pikës 3 të nenit 109 të Ligjit nr. 9920 datë 19.05.2008, “Për Procedurat Tatimore në R.Sh”, vendimi i Drejtorisë së Apelimit Tatimor është i detyrueshëm për zbatim nga organi i administratës tatimore që ka bërë vlerësimin tatimor dhe nuk apelohet prej tij.</w:t>
      </w:r>
    </w:p>
    <w:p w:rsidR="00AA385C" w:rsidRDefault="00AA385C" w:rsidP="00073C0D">
      <w:pPr>
        <w:widowControl w:val="0"/>
        <w:spacing w:after="0" w:line="276" w:lineRule="auto"/>
        <w:ind w:left="3600" w:firstLine="720"/>
        <w:jc w:val="both"/>
        <w:rPr>
          <w:rFonts w:ascii="Times New Roman" w:hAnsi="Times New Roman" w:cs="Times New Roman"/>
          <w:b/>
          <w:bCs/>
          <w:sz w:val="24"/>
          <w:szCs w:val="24"/>
        </w:rPr>
      </w:pPr>
    </w:p>
    <w:p w:rsidR="002F11D5" w:rsidRPr="00073C0D" w:rsidRDefault="002F11D5" w:rsidP="00073C0D">
      <w:pPr>
        <w:widowControl w:val="0"/>
        <w:spacing w:after="0" w:line="276" w:lineRule="auto"/>
        <w:ind w:left="3600" w:firstLine="720"/>
        <w:jc w:val="both"/>
        <w:rPr>
          <w:rFonts w:ascii="Times New Roman" w:hAnsi="Times New Roman" w:cs="Times New Roman"/>
          <w:b/>
          <w:bCs/>
          <w:sz w:val="24"/>
          <w:szCs w:val="24"/>
        </w:rPr>
      </w:pPr>
      <w:r w:rsidRPr="00073C0D">
        <w:rPr>
          <w:rFonts w:ascii="Times New Roman" w:hAnsi="Times New Roman" w:cs="Times New Roman"/>
          <w:b/>
          <w:bCs/>
          <w:sz w:val="24"/>
          <w:szCs w:val="24"/>
        </w:rPr>
        <w:t xml:space="preserve">DREJTOR I APELIMIT TATIMOR </w:t>
      </w:r>
    </w:p>
    <w:p w:rsidR="00AA385C" w:rsidRDefault="00AA385C" w:rsidP="00073C0D">
      <w:pPr>
        <w:widowControl w:val="0"/>
        <w:tabs>
          <w:tab w:val="left" w:pos="1260"/>
        </w:tabs>
        <w:spacing w:after="0" w:line="276" w:lineRule="auto"/>
        <w:jc w:val="both"/>
        <w:rPr>
          <w:rFonts w:ascii="Times New Roman" w:hAnsi="Times New Roman" w:cs="Times New Roman"/>
          <w:i/>
          <w:sz w:val="18"/>
          <w:szCs w:val="24"/>
        </w:rPr>
      </w:pPr>
      <w:bookmarkStart w:id="0" w:name="_GoBack"/>
      <w:bookmarkEnd w:id="0"/>
    </w:p>
    <w:p w:rsidR="008E65AE" w:rsidRPr="00AA385C" w:rsidRDefault="008E65AE" w:rsidP="00073C0D">
      <w:pPr>
        <w:widowControl w:val="0"/>
        <w:spacing w:after="0" w:line="276" w:lineRule="auto"/>
        <w:rPr>
          <w:rFonts w:ascii="Times New Roman" w:hAnsi="Times New Roman" w:cs="Times New Roman"/>
          <w:b/>
          <w:szCs w:val="25"/>
        </w:rPr>
      </w:pPr>
    </w:p>
    <w:sectPr w:rsidR="008E65AE" w:rsidRPr="00AA385C" w:rsidSect="00073C0D">
      <w:footerReference w:type="default" r:id="rId9"/>
      <w:pgSz w:w="11907" w:h="16839" w:code="9"/>
      <w:pgMar w:top="1440" w:right="1440" w:bottom="1134" w:left="1440" w:header="706"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87" w:rsidRDefault="00274A87" w:rsidP="006725DD">
      <w:pPr>
        <w:spacing w:after="0" w:line="240" w:lineRule="auto"/>
      </w:pPr>
      <w:r>
        <w:separator/>
      </w:r>
    </w:p>
  </w:endnote>
  <w:endnote w:type="continuationSeparator" w:id="0">
    <w:p w:rsidR="00274A87" w:rsidRDefault="00274A87" w:rsidP="0067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2A" w:rsidRPr="006725DD" w:rsidRDefault="0096222A" w:rsidP="006725DD">
    <w:pPr>
      <w:pStyle w:val="Footer"/>
      <w:pBdr>
        <w:top w:val="single" w:sz="4" w:space="8" w:color="5B9BD5" w:themeColor="accent1"/>
      </w:pBdr>
      <w:tabs>
        <w:tab w:val="clear" w:pos="4680"/>
        <w:tab w:val="clear" w:pos="9360"/>
      </w:tabs>
      <w:spacing w:before="360"/>
      <w:contextualSpacing/>
      <w:jc w:val="center"/>
      <w:rPr>
        <w:rFonts w:ascii="Times New Roman" w:hAnsi="Times New Roman" w:cs="Times New Roman"/>
        <w:noProof/>
        <w:color w:val="404040" w:themeColor="text1" w:themeTint="BF"/>
      </w:rPr>
    </w:pPr>
    <w:r w:rsidRPr="006725DD">
      <w:rPr>
        <w:rFonts w:ascii="Times New Roman" w:hAnsi="Times New Roman" w:cs="Times New Roman"/>
        <w:noProof/>
        <w:color w:val="404040" w:themeColor="text1" w:themeTint="BF"/>
      </w:rPr>
      <w:t xml:space="preserve">Bulevardi “Dëshmorët e Kombit”, nr. 3, </w:t>
    </w:r>
    <w:hyperlink r:id="rId1" w:history="1">
      <w:r w:rsidRPr="006725DD">
        <w:rPr>
          <w:rStyle w:val="Hyperlink"/>
          <w:rFonts w:ascii="Times New Roman" w:hAnsi="Times New Roman" w:cs="Times New Roman"/>
          <w:noProof/>
        </w:rPr>
        <w:t>www.financa.gov.al</w:t>
      </w:r>
    </w:hyperlink>
    <w:r w:rsidR="00AA385C">
      <w:t xml:space="preserve">                                      </w:t>
    </w:r>
    <w:r w:rsidR="0018725F" w:rsidRPr="0018725F">
      <w:rPr>
        <w:rStyle w:val="Hyperlink"/>
        <w:rFonts w:ascii="Times New Roman" w:hAnsi="Times New Roman" w:cs="Times New Roman"/>
        <w:noProof/>
        <w:u w:val="none"/>
      </w:rPr>
      <w:t xml:space="preserve">                </w:t>
    </w:r>
    <w:r w:rsidRPr="006725DD">
      <w:rPr>
        <w:rFonts w:ascii="Times New Roman" w:hAnsi="Times New Roman" w:cs="Times New Roman"/>
        <w:noProof/>
        <w:color w:val="404040" w:themeColor="text1" w:themeTint="BF"/>
      </w:rPr>
      <w:fldChar w:fldCharType="begin"/>
    </w:r>
    <w:r w:rsidRPr="006725DD">
      <w:rPr>
        <w:rFonts w:ascii="Times New Roman" w:hAnsi="Times New Roman" w:cs="Times New Roman"/>
        <w:noProof/>
        <w:color w:val="404040" w:themeColor="text1" w:themeTint="BF"/>
      </w:rPr>
      <w:instrText xml:space="preserve"> PAGE   \* MERGEFORMAT </w:instrText>
    </w:r>
    <w:r w:rsidRPr="006725DD">
      <w:rPr>
        <w:rFonts w:ascii="Times New Roman" w:hAnsi="Times New Roman" w:cs="Times New Roman"/>
        <w:noProof/>
        <w:color w:val="404040" w:themeColor="text1" w:themeTint="BF"/>
      </w:rPr>
      <w:fldChar w:fldCharType="separate"/>
    </w:r>
    <w:r w:rsidR="009A6697">
      <w:rPr>
        <w:rFonts w:ascii="Times New Roman" w:hAnsi="Times New Roman" w:cs="Times New Roman"/>
        <w:noProof/>
        <w:color w:val="404040" w:themeColor="text1" w:themeTint="BF"/>
      </w:rPr>
      <w:t>5</w:t>
    </w:r>
    <w:r w:rsidRPr="006725DD">
      <w:rPr>
        <w:rFonts w:ascii="Times New Roman" w:hAnsi="Times New Roman" w:cs="Times New Roman"/>
        <w:noProof/>
        <w:color w:val="404040" w:themeColor="text1" w:themeTint="BF"/>
      </w:rPr>
      <w:fldChar w:fldCharType="end"/>
    </w:r>
  </w:p>
  <w:p w:rsidR="0096222A" w:rsidRDefault="00962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87" w:rsidRDefault="00274A87" w:rsidP="006725DD">
      <w:pPr>
        <w:spacing w:after="0" w:line="240" w:lineRule="auto"/>
      </w:pPr>
      <w:r>
        <w:separator/>
      </w:r>
    </w:p>
  </w:footnote>
  <w:footnote w:type="continuationSeparator" w:id="0">
    <w:p w:rsidR="00274A87" w:rsidRDefault="00274A87" w:rsidP="00672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5AF0"/>
    <w:multiLevelType w:val="hybridMultilevel"/>
    <w:tmpl w:val="7EAE4AC2"/>
    <w:lvl w:ilvl="0" w:tplc="92F441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317D2"/>
    <w:multiLevelType w:val="hybridMultilevel"/>
    <w:tmpl w:val="34A2A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56CC3"/>
    <w:multiLevelType w:val="hybridMultilevel"/>
    <w:tmpl w:val="289A0D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C058A"/>
    <w:multiLevelType w:val="hybridMultilevel"/>
    <w:tmpl w:val="793C4D4A"/>
    <w:lvl w:ilvl="0" w:tplc="08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nsid w:val="0C012EBF"/>
    <w:multiLevelType w:val="hybridMultilevel"/>
    <w:tmpl w:val="3754F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62A61"/>
    <w:multiLevelType w:val="hybridMultilevel"/>
    <w:tmpl w:val="A740AD7A"/>
    <w:lvl w:ilvl="0" w:tplc="1FD463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33526"/>
    <w:multiLevelType w:val="hybridMultilevel"/>
    <w:tmpl w:val="7AD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36994"/>
    <w:multiLevelType w:val="hybridMultilevel"/>
    <w:tmpl w:val="61627F9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89D7ED2"/>
    <w:multiLevelType w:val="hybridMultilevel"/>
    <w:tmpl w:val="1FA20EBC"/>
    <w:lvl w:ilvl="0" w:tplc="08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nsid w:val="1A7A7465"/>
    <w:multiLevelType w:val="hybridMultilevel"/>
    <w:tmpl w:val="42A052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8F36C7"/>
    <w:multiLevelType w:val="hybridMultilevel"/>
    <w:tmpl w:val="6AFE1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62B49"/>
    <w:multiLevelType w:val="hybridMultilevel"/>
    <w:tmpl w:val="79A660F2"/>
    <w:lvl w:ilvl="0" w:tplc="0409000B">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8FF4383"/>
    <w:multiLevelType w:val="hybridMultilevel"/>
    <w:tmpl w:val="7E46C69E"/>
    <w:lvl w:ilvl="0" w:tplc="9C726A8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E00606"/>
    <w:multiLevelType w:val="hybridMultilevel"/>
    <w:tmpl w:val="AE102612"/>
    <w:lvl w:ilvl="0" w:tplc="9C726A8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A7A03"/>
    <w:multiLevelType w:val="hybridMultilevel"/>
    <w:tmpl w:val="4314EA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E6B4518"/>
    <w:multiLevelType w:val="hybridMultilevel"/>
    <w:tmpl w:val="B7A00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F4713"/>
    <w:multiLevelType w:val="hybridMultilevel"/>
    <w:tmpl w:val="3878CBC8"/>
    <w:lvl w:ilvl="0" w:tplc="062AC35C">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F07072"/>
    <w:multiLevelType w:val="hybridMultilevel"/>
    <w:tmpl w:val="AB2435D6"/>
    <w:lvl w:ilvl="0" w:tplc="F90015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E443AA"/>
    <w:multiLevelType w:val="hybridMultilevel"/>
    <w:tmpl w:val="2C448C8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8F8103F"/>
    <w:multiLevelType w:val="hybridMultilevel"/>
    <w:tmpl w:val="09102E30"/>
    <w:lvl w:ilvl="0" w:tplc="502AC57E">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1C5142"/>
    <w:multiLevelType w:val="hybridMultilevel"/>
    <w:tmpl w:val="5366CCA8"/>
    <w:lvl w:ilvl="0" w:tplc="608AEE8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544B15B5"/>
    <w:multiLevelType w:val="hybridMultilevel"/>
    <w:tmpl w:val="28B4DC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8D3763"/>
    <w:multiLevelType w:val="hybridMultilevel"/>
    <w:tmpl w:val="9D14AAB6"/>
    <w:lvl w:ilvl="0" w:tplc="77B85202">
      <w:start w:val="1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E819DF"/>
    <w:multiLevelType w:val="hybridMultilevel"/>
    <w:tmpl w:val="747A0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DB7C45"/>
    <w:multiLevelType w:val="hybridMultilevel"/>
    <w:tmpl w:val="9BA22958"/>
    <w:lvl w:ilvl="0" w:tplc="3DC4E9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1A74B2"/>
    <w:multiLevelType w:val="hybridMultilevel"/>
    <w:tmpl w:val="D0E09DB0"/>
    <w:lvl w:ilvl="0" w:tplc="0409000B">
      <w:start w:val="1"/>
      <w:numFmt w:val="bullet"/>
      <w:lvlText w:val=""/>
      <w:lvlJc w:val="left"/>
      <w:pPr>
        <w:tabs>
          <w:tab w:val="num" w:pos="630"/>
        </w:tabs>
        <w:ind w:left="63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9397F43"/>
    <w:multiLevelType w:val="hybridMultilevel"/>
    <w:tmpl w:val="17FC6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D76BB6"/>
    <w:multiLevelType w:val="hybridMultilevel"/>
    <w:tmpl w:val="F38E1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F11BBE"/>
    <w:multiLevelType w:val="hybridMultilevel"/>
    <w:tmpl w:val="1A046DCA"/>
    <w:lvl w:ilvl="0" w:tplc="C2CECA4A">
      <w:start w:val="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324922"/>
    <w:multiLevelType w:val="hybridMultilevel"/>
    <w:tmpl w:val="D4542C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864A58"/>
    <w:multiLevelType w:val="hybridMultilevel"/>
    <w:tmpl w:val="C2C47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23"/>
  </w:num>
  <w:num w:numId="4">
    <w:abstractNumId w:val="25"/>
  </w:num>
  <w:num w:numId="5">
    <w:abstractNumId w:val="2"/>
  </w:num>
  <w:num w:numId="6">
    <w:abstractNumId w:val="18"/>
  </w:num>
  <w:num w:numId="7">
    <w:abstractNumId w:val="28"/>
  </w:num>
  <w:num w:numId="8">
    <w:abstractNumId w:val="27"/>
  </w:num>
  <w:num w:numId="9">
    <w:abstractNumId w:val="10"/>
  </w:num>
  <w:num w:numId="10">
    <w:abstractNumId w:val="30"/>
  </w:num>
  <w:num w:numId="11">
    <w:abstractNumId w:val="9"/>
  </w:num>
  <w:num w:numId="12">
    <w:abstractNumId w:val="11"/>
  </w:num>
  <w:num w:numId="13">
    <w:abstractNumId w:val="7"/>
  </w:num>
  <w:num w:numId="14">
    <w:abstractNumId w:val="20"/>
  </w:num>
  <w:num w:numId="15">
    <w:abstractNumId w:val="0"/>
  </w:num>
  <w:num w:numId="16">
    <w:abstractNumId w:val="12"/>
  </w:num>
  <w:num w:numId="17">
    <w:abstractNumId w:val="13"/>
  </w:num>
  <w:num w:numId="18">
    <w:abstractNumId w:val="26"/>
  </w:num>
  <w:num w:numId="19">
    <w:abstractNumId w:val="24"/>
  </w:num>
  <w:num w:numId="20">
    <w:abstractNumId w:val="14"/>
  </w:num>
  <w:num w:numId="21">
    <w:abstractNumId w:val="4"/>
  </w:num>
  <w:num w:numId="22">
    <w:abstractNumId w:val="16"/>
  </w:num>
  <w:num w:numId="23">
    <w:abstractNumId w:val="21"/>
  </w:num>
  <w:num w:numId="24">
    <w:abstractNumId w:val="29"/>
  </w:num>
  <w:num w:numId="25">
    <w:abstractNumId w:val="1"/>
  </w:num>
  <w:num w:numId="26">
    <w:abstractNumId w:val="17"/>
  </w:num>
  <w:num w:numId="27">
    <w:abstractNumId w:val="5"/>
  </w:num>
  <w:num w:numId="28">
    <w:abstractNumId w:val="22"/>
  </w:num>
  <w:num w:numId="29">
    <w:abstractNumId w:val="8"/>
  </w:num>
  <w:num w:numId="30">
    <w:abstractNumId w:val="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7051"/>
    <w:rsid w:val="000045A5"/>
    <w:rsid w:val="00006BB2"/>
    <w:rsid w:val="000109E4"/>
    <w:rsid w:val="000121DE"/>
    <w:rsid w:val="000133E7"/>
    <w:rsid w:val="00016CE1"/>
    <w:rsid w:val="00024426"/>
    <w:rsid w:val="00025475"/>
    <w:rsid w:val="00035E3F"/>
    <w:rsid w:val="00043634"/>
    <w:rsid w:val="00044CA5"/>
    <w:rsid w:val="00045C58"/>
    <w:rsid w:val="00046459"/>
    <w:rsid w:val="000472C3"/>
    <w:rsid w:val="000671FE"/>
    <w:rsid w:val="00070BF3"/>
    <w:rsid w:val="00070DFB"/>
    <w:rsid w:val="00073C0D"/>
    <w:rsid w:val="0007420B"/>
    <w:rsid w:val="00075A4A"/>
    <w:rsid w:val="00076FE1"/>
    <w:rsid w:val="00093A1A"/>
    <w:rsid w:val="000A2265"/>
    <w:rsid w:val="000A7590"/>
    <w:rsid w:val="000A7C2E"/>
    <w:rsid w:val="000B3051"/>
    <w:rsid w:val="000B64A4"/>
    <w:rsid w:val="000B6B52"/>
    <w:rsid w:val="000C2087"/>
    <w:rsid w:val="000C4DE8"/>
    <w:rsid w:val="000C5885"/>
    <w:rsid w:val="000D1B22"/>
    <w:rsid w:val="000D3218"/>
    <w:rsid w:val="000D5F2B"/>
    <w:rsid w:val="000E050D"/>
    <w:rsid w:val="000E1781"/>
    <w:rsid w:val="000E6E90"/>
    <w:rsid w:val="000F2E50"/>
    <w:rsid w:val="000F355F"/>
    <w:rsid w:val="000F3E2D"/>
    <w:rsid w:val="000F4309"/>
    <w:rsid w:val="000F58CC"/>
    <w:rsid w:val="000F7D24"/>
    <w:rsid w:val="001016CC"/>
    <w:rsid w:val="0010209D"/>
    <w:rsid w:val="0010479B"/>
    <w:rsid w:val="0010781A"/>
    <w:rsid w:val="001108B7"/>
    <w:rsid w:val="00110D60"/>
    <w:rsid w:val="001144F5"/>
    <w:rsid w:val="00116058"/>
    <w:rsid w:val="0012084B"/>
    <w:rsid w:val="00121A4B"/>
    <w:rsid w:val="00124DF0"/>
    <w:rsid w:val="00130DD1"/>
    <w:rsid w:val="001333F7"/>
    <w:rsid w:val="001369EF"/>
    <w:rsid w:val="00137B14"/>
    <w:rsid w:val="001411F6"/>
    <w:rsid w:val="00147A27"/>
    <w:rsid w:val="00150B96"/>
    <w:rsid w:val="00151FBE"/>
    <w:rsid w:val="0015343A"/>
    <w:rsid w:val="0015591C"/>
    <w:rsid w:val="00155976"/>
    <w:rsid w:val="001570F0"/>
    <w:rsid w:val="0016625C"/>
    <w:rsid w:val="00173903"/>
    <w:rsid w:val="00181EEF"/>
    <w:rsid w:val="001854AB"/>
    <w:rsid w:val="001855B4"/>
    <w:rsid w:val="0018725F"/>
    <w:rsid w:val="00193995"/>
    <w:rsid w:val="001971B6"/>
    <w:rsid w:val="00197304"/>
    <w:rsid w:val="001A3EA2"/>
    <w:rsid w:val="001A6AD8"/>
    <w:rsid w:val="001A6F87"/>
    <w:rsid w:val="001B10FC"/>
    <w:rsid w:val="001B2408"/>
    <w:rsid w:val="001B4DB5"/>
    <w:rsid w:val="001B66C9"/>
    <w:rsid w:val="001C1281"/>
    <w:rsid w:val="001C1AB3"/>
    <w:rsid w:val="001C63D7"/>
    <w:rsid w:val="001C7303"/>
    <w:rsid w:val="001D1C1A"/>
    <w:rsid w:val="001D4A4B"/>
    <w:rsid w:val="001D61EC"/>
    <w:rsid w:val="001D652F"/>
    <w:rsid w:val="001E0DCC"/>
    <w:rsid w:val="001E3F3A"/>
    <w:rsid w:val="001E491E"/>
    <w:rsid w:val="001F0149"/>
    <w:rsid w:val="001F1FA3"/>
    <w:rsid w:val="001F25E1"/>
    <w:rsid w:val="001F2FA2"/>
    <w:rsid w:val="001F40FF"/>
    <w:rsid w:val="001F5C80"/>
    <w:rsid w:val="001F68B2"/>
    <w:rsid w:val="001F68CE"/>
    <w:rsid w:val="001F69E2"/>
    <w:rsid w:val="00202AD7"/>
    <w:rsid w:val="00205094"/>
    <w:rsid w:val="00206FB6"/>
    <w:rsid w:val="002128A3"/>
    <w:rsid w:val="002137BD"/>
    <w:rsid w:val="00216027"/>
    <w:rsid w:val="00226A1F"/>
    <w:rsid w:val="00230104"/>
    <w:rsid w:val="00232587"/>
    <w:rsid w:val="00232F76"/>
    <w:rsid w:val="00233F41"/>
    <w:rsid w:val="0023413F"/>
    <w:rsid w:val="00234D73"/>
    <w:rsid w:val="00236822"/>
    <w:rsid w:val="002402F7"/>
    <w:rsid w:val="00241705"/>
    <w:rsid w:val="002509FD"/>
    <w:rsid w:val="00252A71"/>
    <w:rsid w:val="00252BB4"/>
    <w:rsid w:val="002543C1"/>
    <w:rsid w:val="00254AF8"/>
    <w:rsid w:val="00257813"/>
    <w:rsid w:val="002631FB"/>
    <w:rsid w:val="0026622E"/>
    <w:rsid w:val="00267BE1"/>
    <w:rsid w:val="00270EAE"/>
    <w:rsid w:val="0027146F"/>
    <w:rsid w:val="00272873"/>
    <w:rsid w:val="00274A87"/>
    <w:rsid w:val="0028590D"/>
    <w:rsid w:val="00285C62"/>
    <w:rsid w:val="00285D28"/>
    <w:rsid w:val="00290962"/>
    <w:rsid w:val="00291F20"/>
    <w:rsid w:val="00292587"/>
    <w:rsid w:val="00294418"/>
    <w:rsid w:val="00295193"/>
    <w:rsid w:val="0029749F"/>
    <w:rsid w:val="002A190D"/>
    <w:rsid w:val="002A2F2B"/>
    <w:rsid w:val="002A51AC"/>
    <w:rsid w:val="002A59A6"/>
    <w:rsid w:val="002C60DA"/>
    <w:rsid w:val="002D470B"/>
    <w:rsid w:val="002D4B75"/>
    <w:rsid w:val="002D5467"/>
    <w:rsid w:val="002D5ADD"/>
    <w:rsid w:val="002E0C9E"/>
    <w:rsid w:val="002E0CF4"/>
    <w:rsid w:val="002F11D5"/>
    <w:rsid w:val="002F13AE"/>
    <w:rsid w:val="002F4F37"/>
    <w:rsid w:val="002F6BAA"/>
    <w:rsid w:val="0030086E"/>
    <w:rsid w:val="00301DFD"/>
    <w:rsid w:val="003039F7"/>
    <w:rsid w:val="00304731"/>
    <w:rsid w:val="00306462"/>
    <w:rsid w:val="0031051D"/>
    <w:rsid w:val="00314034"/>
    <w:rsid w:val="0032031E"/>
    <w:rsid w:val="00320353"/>
    <w:rsid w:val="003206C0"/>
    <w:rsid w:val="003239E7"/>
    <w:rsid w:val="00324694"/>
    <w:rsid w:val="00324876"/>
    <w:rsid w:val="003263E2"/>
    <w:rsid w:val="00326764"/>
    <w:rsid w:val="00326A91"/>
    <w:rsid w:val="0033395B"/>
    <w:rsid w:val="00340DD3"/>
    <w:rsid w:val="003422FF"/>
    <w:rsid w:val="003425AB"/>
    <w:rsid w:val="00345E92"/>
    <w:rsid w:val="00346FFE"/>
    <w:rsid w:val="00353404"/>
    <w:rsid w:val="003535EF"/>
    <w:rsid w:val="003543A5"/>
    <w:rsid w:val="003576D2"/>
    <w:rsid w:val="0036079E"/>
    <w:rsid w:val="0036364B"/>
    <w:rsid w:val="00363700"/>
    <w:rsid w:val="00364616"/>
    <w:rsid w:val="00364E56"/>
    <w:rsid w:val="003674DB"/>
    <w:rsid w:val="00370A84"/>
    <w:rsid w:val="00372151"/>
    <w:rsid w:val="003759FB"/>
    <w:rsid w:val="00375C25"/>
    <w:rsid w:val="0037715C"/>
    <w:rsid w:val="00386C38"/>
    <w:rsid w:val="00390441"/>
    <w:rsid w:val="00390549"/>
    <w:rsid w:val="00392519"/>
    <w:rsid w:val="0039357C"/>
    <w:rsid w:val="00395803"/>
    <w:rsid w:val="00397309"/>
    <w:rsid w:val="003A2006"/>
    <w:rsid w:val="003B1CDD"/>
    <w:rsid w:val="003B34F3"/>
    <w:rsid w:val="003B38F0"/>
    <w:rsid w:val="003B6537"/>
    <w:rsid w:val="003C25C1"/>
    <w:rsid w:val="003C5757"/>
    <w:rsid w:val="003C6302"/>
    <w:rsid w:val="003C6D7D"/>
    <w:rsid w:val="003D1547"/>
    <w:rsid w:val="003D2457"/>
    <w:rsid w:val="003D3808"/>
    <w:rsid w:val="003D4AAF"/>
    <w:rsid w:val="003E294B"/>
    <w:rsid w:val="003E4898"/>
    <w:rsid w:val="003E7545"/>
    <w:rsid w:val="003F44FF"/>
    <w:rsid w:val="003F6CCE"/>
    <w:rsid w:val="00400B77"/>
    <w:rsid w:val="00405B98"/>
    <w:rsid w:val="004109D2"/>
    <w:rsid w:val="00413A15"/>
    <w:rsid w:val="00415224"/>
    <w:rsid w:val="00415F99"/>
    <w:rsid w:val="0041603F"/>
    <w:rsid w:val="00420434"/>
    <w:rsid w:val="004227CC"/>
    <w:rsid w:val="00426607"/>
    <w:rsid w:val="00431090"/>
    <w:rsid w:val="00433153"/>
    <w:rsid w:val="004338DC"/>
    <w:rsid w:val="0044143A"/>
    <w:rsid w:val="004453F7"/>
    <w:rsid w:val="00445538"/>
    <w:rsid w:val="00445A6F"/>
    <w:rsid w:val="00445B1C"/>
    <w:rsid w:val="00451828"/>
    <w:rsid w:val="00453C26"/>
    <w:rsid w:val="00455067"/>
    <w:rsid w:val="00455390"/>
    <w:rsid w:val="00456C02"/>
    <w:rsid w:val="004574BC"/>
    <w:rsid w:val="00462B6B"/>
    <w:rsid w:val="004631E6"/>
    <w:rsid w:val="00463711"/>
    <w:rsid w:val="00465E89"/>
    <w:rsid w:val="004705FD"/>
    <w:rsid w:val="00477A83"/>
    <w:rsid w:val="00477AE3"/>
    <w:rsid w:val="00480B0F"/>
    <w:rsid w:val="004829A6"/>
    <w:rsid w:val="00490963"/>
    <w:rsid w:val="00491720"/>
    <w:rsid w:val="0049180F"/>
    <w:rsid w:val="004963D1"/>
    <w:rsid w:val="004975BA"/>
    <w:rsid w:val="004A51D5"/>
    <w:rsid w:val="004B0CD3"/>
    <w:rsid w:val="004B2B67"/>
    <w:rsid w:val="004B5104"/>
    <w:rsid w:val="004B7895"/>
    <w:rsid w:val="004C2747"/>
    <w:rsid w:val="004C356F"/>
    <w:rsid w:val="004C594F"/>
    <w:rsid w:val="004C599E"/>
    <w:rsid w:val="004D0465"/>
    <w:rsid w:val="004D35FC"/>
    <w:rsid w:val="004E1272"/>
    <w:rsid w:val="004E1906"/>
    <w:rsid w:val="004E298F"/>
    <w:rsid w:val="004E2E65"/>
    <w:rsid w:val="004F0951"/>
    <w:rsid w:val="004F4F87"/>
    <w:rsid w:val="00507A25"/>
    <w:rsid w:val="00511BDA"/>
    <w:rsid w:val="00512382"/>
    <w:rsid w:val="00517051"/>
    <w:rsid w:val="0052646F"/>
    <w:rsid w:val="00527414"/>
    <w:rsid w:val="005317A4"/>
    <w:rsid w:val="00532C7E"/>
    <w:rsid w:val="00540ED4"/>
    <w:rsid w:val="0054719F"/>
    <w:rsid w:val="00547B0C"/>
    <w:rsid w:val="005569C8"/>
    <w:rsid w:val="00556F9C"/>
    <w:rsid w:val="005607CA"/>
    <w:rsid w:val="00565CCA"/>
    <w:rsid w:val="00573D94"/>
    <w:rsid w:val="005773EA"/>
    <w:rsid w:val="00580C17"/>
    <w:rsid w:val="00586CD0"/>
    <w:rsid w:val="005914DB"/>
    <w:rsid w:val="00597ADD"/>
    <w:rsid w:val="005A32EE"/>
    <w:rsid w:val="005A7543"/>
    <w:rsid w:val="005B1CAF"/>
    <w:rsid w:val="005B30BC"/>
    <w:rsid w:val="005B6C70"/>
    <w:rsid w:val="005B76CB"/>
    <w:rsid w:val="005C24B3"/>
    <w:rsid w:val="005C5E98"/>
    <w:rsid w:val="005C601B"/>
    <w:rsid w:val="005D0672"/>
    <w:rsid w:val="005D4586"/>
    <w:rsid w:val="005D6A31"/>
    <w:rsid w:val="005D70C0"/>
    <w:rsid w:val="005D7606"/>
    <w:rsid w:val="005E1051"/>
    <w:rsid w:val="005E2177"/>
    <w:rsid w:val="005E72DE"/>
    <w:rsid w:val="005F35EC"/>
    <w:rsid w:val="005F5BFA"/>
    <w:rsid w:val="006010DA"/>
    <w:rsid w:val="006026A5"/>
    <w:rsid w:val="00603C51"/>
    <w:rsid w:val="0060503F"/>
    <w:rsid w:val="00612301"/>
    <w:rsid w:val="00613803"/>
    <w:rsid w:val="00613C22"/>
    <w:rsid w:val="00624154"/>
    <w:rsid w:val="00630580"/>
    <w:rsid w:val="00630A2E"/>
    <w:rsid w:val="0063358E"/>
    <w:rsid w:val="00633973"/>
    <w:rsid w:val="0063543E"/>
    <w:rsid w:val="006368C7"/>
    <w:rsid w:val="006406C9"/>
    <w:rsid w:val="0065187A"/>
    <w:rsid w:val="00652565"/>
    <w:rsid w:val="00656F08"/>
    <w:rsid w:val="00664468"/>
    <w:rsid w:val="006651A0"/>
    <w:rsid w:val="006725DD"/>
    <w:rsid w:val="00674C43"/>
    <w:rsid w:val="00677E0A"/>
    <w:rsid w:val="006806DF"/>
    <w:rsid w:val="00684771"/>
    <w:rsid w:val="0068699B"/>
    <w:rsid w:val="006A226E"/>
    <w:rsid w:val="006B0659"/>
    <w:rsid w:val="006B4FAB"/>
    <w:rsid w:val="006B79D6"/>
    <w:rsid w:val="006C0ABC"/>
    <w:rsid w:val="006C39A3"/>
    <w:rsid w:val="006C6398"/>
    <w:rsid w:val="006C7CC9"/>
    <w:rsid w:val="006C7E0F"/>
    <w:rsid w:val="006C7EDA"/>
    <w:rsid w:val="006D0010"/>
    <w:rsid w:val="006D130B"/>
    <w:rsid w:val="006D13C4"/>
    <w:rsid w:val="006D1B30"/>
    <w:rsid w:val="006D265E"/>
    <w:rsid w:val="006D72F7"/>
    <w:rsid w:val="006E1A9F"/>
    <w:rsid w:val="006E2121"/>
    <w:rsid w:val="006E59C3"/>
    <w:rsid w:val="006E792E"/>
    <w:rsid w:val="006F1A54"/>
    <w:rsid w:val="006F4335"/>
    <w:rsid w:val="006F4F27"/>
    <w:rsid w:val="00703789"/>
    <w:rsid w:val="0070609E"/>
    <w:rsid w:val="007108A2"/>
    <w:rsid w:val="007122FF"/>
    <w:rsid w:val="00712BEE"/>
    <w:rsid w:val="00713A30"/>
    <w:rsid w:val="00715B46"/>
    <w:rsid w:val="007162EC"/>
    <w:rsid w:val="00717C6F"/>
    <w:rsid w:val="00720361"/>
    <w:rsid w:val="00721030"/>
    <w:rsid w:val="0072133F"/>
    <w:rsid w:val="007244F5"/>
    <w:rsid w:val="00726391"/>
    <w:rsid w:val="0073339D"/>
    <w:rsid w:val="00736559"/>
    <w:rsid w:val="00751D04"/>
    <w:rsid w:val="00752A57"/>
    <w:rsid w:val="00753F88"/>
    <w:rsid w:val="00754B3F"/>
    <w:rsid w:val="00754DFD"/>
    <w:rsid w:val="00760697"/>
    <w:rsid w:val="007632A8"/>
    <w:rsid w:val="00771589"/>
    <w:rsid w:val="00783F49"/>
    <w:rsid w:val="007861BF"/>
    <w:rsid w:val="00792C73"/>
    <w:rsid w:val="007A0EBC"/>
    <w:rsid w:val="007A1059"/>
    <w:rsid w:val="007A1EDC"/>
    <w:rsid w:val="007A2254"/>
    <w:rsid w:val="007A3BC5"/>
    <w:rsid w:val="007A704C"/>
    <w:rsid w:val="007B7E65"/>
    <w:rsid w:val="007C1960"/>
    <w:rsid w:val="007C1D65"/>
    <w:rsid w:val="007C3211"/>
    <w:rsid w:val="007C5C20"/>
    <w:rsid w:val="007C793C"/>
    <w:rsid w:val="007D4372"/>
    <w:rsid w:val="007D4751"/>
    <w:rsid w:val="007D6DFA"/>
    <w:rsid w:val="007D712E"/>
    <w:rsid w:val="007E230A"/>
    <w:rsid w:val="007E261C"/>
    <w:rsid w:val="007E4CAE"/>
    <w:rsid w:val="007E566F"/>
    <w:rsid w:val="007E6D5E"/>
    <w:rsid w:val="007F14FD"/>
    <w:rsid w:val="007F32E9"/>
    <w:rsid w:val="007F5757"/>
    <w:rsid w:val="00802BB2"/>
    <w:rsid w:val="00806A9A"/>
    <w:rsid w:val="008076BE"/>
    <w:rsid w:val="00810948"/>
    <w:rsid w:val="008135A5"/>
    <w:rsid w:val="0081402F"/>
    <w:rsid w:val="00817F94"/>
    <w:rsid w:val="00820F92"/>
    <w:rsid w:val="008277F3"/>
    <w:rsid w:val="00832126"/>
    <w:rsid w:val="008333AD"/>
    <w:rsid w:val="00835CD2"/>
    <w:rsid w:val="00835EBF"/>
    <w:rsid w:val="00836425"/>
    <w:rsid w:val="008439C6"/>
    <w:rsid w:val="008448A9"/>
    <w:rsid w:val="00846CAB"/>
    <w:rsid w:val="00851B04"/>
    <w:rsid w:val="008537AC"/>
    <w:rsid w:val="00855F4C"/>
    <w:rsid w:val="00861E78"/>
    <w:rsid w:val="00862F48"/>
    <w:rsid w:val="00871DFB"/>
    <w:rsid w:val="0087362B"/>
    <w:rsid w:val="008753EA"/>
    <w:rsid w:val="00884110"/>
    <w:rsid w:val="00886D7A"/>
    <w:rsid w:val="00892A94"/>
    <w:rsid w:val="00895F43"/>
    <w:rsid w:val="008A10A5"/>
    <w:rsid w:val="008A1F4B"/>
    <w:rsid w:val="008A76EF"/>
    <w:rsid w:val="008A7AE0"/>
    <w:rsid w:val="008B092A"/>
    <w:rsid w:val="008B0930"/>
    <w:rsid w:val="008B451E"/>
    <w:rsid w:val="008B7358"/>
    <w:rsid w:val="008B7B3B"/>
    <w:rsid w:val="008C5DD7"/>
    <w:rsid w:val="008C74DE"/>
    <w:rsid w:val="008C778B"/>
    <w:rsid w:val="008D041E"/>
    <w:rsid w:val="008D2DF9"/>
    <w:rsid w:val="008D4B3D"/>
    <w:rsid w:val="008D4D09"/>
    <w:rsid w:val="008D607C"/>
    <w:rsid w:val="008D60F2"/>
    <w:rsid w:val="008D6DB8"/>
    <w:rsid w:val="008D7153"/>
    <w:rsid w:val="008D7230"/>
    <w:rsid w:val="008E5993"/>
    <w:rsid w:val="008E65AE"/>
    <w:rsid w:val="008E7D50"/>
    <w:rsid w:val="008F4A4C"/>
    <w:rsid w:val="00906B69"/>
    <w:rsid w:val="0091313C"/>
    <w:rsid w:val="00915FED"/>
    <w:rsid w:val="00920C88"/>
    <w:rsid w:val="0092338C"/>
    <w:rsid w:val="009243A6"/>
    <w:rsid w:val="0092657B"/>
    <w:rsid w:val="00932221"/>
    <w:rsid w:val="0093233A"/>
    <w:rsid w:val="00932DA8"/>
    <w:rsid w:val="00933CF1"/>
    <w:rsid w:val="00936F09"/>
    <w:rsid w:val="00944FE1"/>
    <w:rsid w:val="009535F6"/>
    <w:rsid w:val="00953D4C"/>
    <w:rsid w:val="0096222A"/>
    <w:rsid w:val="00965237"/>
    <w:rsid w:val="00966265"/>
    <w:rsid w:val="00966380"/>
    <w:rsid w:val="00973C88"/>
    <w:rsid w:val="009826C6"/>
    <w:rsid w:val="00982E23"/>
    <w:rsid w:val="009830E1"/>
    <w:rsid w:val="0098318E"/>
    <w:rsid w:val="00983B4D"/>
    <w:rsid w:val="009853BB"/>
    <w:rsid w:val="009911E5"/>
    <w:rsid w:val="00994ED2"/>
    <w:rsid w:val="009969D9"/>
    <w:rsid w:val="00997CDD"/>
    <w:rsid w:val="009A09B2"/>
    <w:rsid w:val="009A2DDD"/>
    <w:rsid w:val="009A2F6B"/>
    <w:rsid w:val="009A3397"/>
    <w:rsid w:val="009A38D6"/>
    <w:rsid w:val="009A5B95"/>
    <w:rsid w:val="009A6697"/>
    <w:rsid w:val="009B140A"/>
    <w:rsid w:val="009B5A0A"/>
    <w:rsid w:val="009B6094"/>
    <w:rsid w:val="009B7A55"/>
    <w:rsid w:val="009D1B28"/>
    <w:rsid w:val="009E4A49"/>
    <w:rsid w:val="009E566E"/>
    <w:rsid w:val="009E6032"/>
    <w:rsid w:val="009F2DBB"/>
    <w:rsid w:val="009F4FBD"/>
    <w:rsid w:val="009F5E38"/>
    <w:rsid w:val="00A01238"/>
    <w:rsid w:val="00A01627"/>
    <w:rsid w:val="00A04B1A"/>
    <w:rsid w:val="00A0579A"/>
    <w:rsid w:val="00A10E19"/>
    <w:rsid w:val="00A1160C"/>
    <w:rsid w:val="00A1458E"/>
    <w:rsid w:val="00A15C1B"/>
    <w:rsid w:val="00A20D4D"/>
    <w:rsid w:val="00A22B9B"/>
    <w:rsid w:val="00A2371A"/>
    <w:rsid w:val="00A37D58"/>
    <w:rsid w:val="00A46281"/>
    <w:rsid w:val="00A46928"/>
    <w:rsid w:val="00A507F7"/>
    <w:rsid w:val="00A742FE"/>
    <w:rsid w:val="00A808EA"/>
    <w:rsid w:val="00A82096"/>
    <w:rsid w:val="00A908C6"/>
    <w:rsid w:val="00A93A6B"/>
    <w:rsid w:val="00A943D1"/>
    <w:rsid w:val="00A9669B"/>
    <w:rsid w:val="00AA385C"/>
    <w:rsid w:val="00AA3A25"/>
    <w:rsid w:val="00AA4622"/>
    <w:rsid w:val="00AA5239"/>
    <w:rsid w:val="00AA5E85"/>
    <w:rsid w:val="00AA70DD"/>
    <w:rsid w:val="00AA7CAD"/>
    <w:rsid w:val="00AB4C75"/>
    <w:rsid w:val="00AB6906"/>
    <w:rsid w:val="00AB6DD0"/>
    <w:rsid w:val="00AB7184"/>
    <w:rsid w:val="00AC10AB"/>
    <w:rsid w:val="00AC237C"/>
    <w:rsid w:val="00AC35FA"/>
    <w:rsid w:val="00AC599C"/>
    <w:rsid w:val="00AC5AF5"/>
    <w:rsid w:val="00AD577B"/>
    <w:rsid w:val="00AD5C0F"/>
    <w:rsid w:val="00AE38DC"/>
    <w:rsid w:val="00AF1049"/>
    <w:rsid w:val="00AF1ECB"/>
    <w:rsid w:val="00AF21ED"/>
    <w:rsid w:val="00AF2F0E"/>
    <w:rsid w:val="00B00154"/>
    <w:rsid w:val="00B0164D"/>
    <w:rsid w:val="00B04BBF"/>
    <w:rsid w:val="00B055AE"/>
    <w:rsid w:val="00B1348F"/>
    <w:rsid w:val="00B14A8F"/>
    <w:rsid w:val="00B218C3"/>
    <w:rsid w:val="00B25D69"/>
    <w:rsid w:val="00B306D0"/>
    <w:rsid w:val="00B31E65"/>
    <w:rsid w:val="00B34569"/>
    <w:rsid w:val="00B35094"/>
    <w:rsid w:val="00B37354"/>
    <w:rsid w:val="00B4032C"/>
    <w:rsid w:val="00B41970"/>
    <w:rsid w:val="00B42E12"/>
    <w:rsid w:val="00B4635B"/>
    <w:rsid w:val="00B474F0"/>
    <w:rsid w:val="00B47AF9"/>
    <w:rsid w:val="00B525CD"/>
    <w:rsid w:val="00B538EC"/>
    <w:rsid w:val="00B60B35"/>
    <w:rsid w:val="00B6418A"/>
    <w:rsid w:val="00B72D49"/>
    <w:rsid w:val="00B750AD"/>
    <w:rsid w:val="00B768F8"/>
    <w:rsid w:val="00B80FC0"/>
    <w:rsid w:val="00B942D3"/>
    <w:rsid w:val="00B97AE3"/>
    <w:rsid w:val="00BA08CC"/>
    <w:rsid w:val="00BA787C"/>
    <w:rsid w:val="00BC1749"/>
    <w:rsid w:val="00BC46F0"/>
    <w:rsid w:val="00BC4786"/>
    <w:rsid w:val="00BD1102"/>
    <w:rsid w:val="00BD3AF4"/>
    <w:rsid w:val="00BD47A0"/>
    <w:rsid w:val="00BD4DE0"/>
    <w:rsid w:val="00BE2497"/>
    <w:rsid w:val="00BE29C4"/>
    <w:rsid w:val="00BE5C24"/>
    <w:rsid w:val="00BF287A"/>
    <w:rsid w:val="00BF52CD"/>
    <w:rsid w:val="00C02775"/>
    <w:rsid w:val="00C035DA"/>
    <w:rsid w:val="00C04B19"/>
    <w:rsid w:val="00C10D34"/>
    <w:rsid w:val="00C12BE3"/>
    <w:rsid w:val="00C15311"/>
    <w:rsid w:val="00C16851"/>
    <w:rsid w:val="00C22544"/>
    <w:rsid w:val="00C245A9"/>
    <w:rsid w:val="00C30548"/>
    <w:rsid w:val="00C326A9"/>
    <w:rsid w:val="00C34959"/>
    <w:rsid w:val="00C364C0"/>
    <w:rsid w:val="00C40B9D"/>
    <w:rsid w:val="00C42172"/>
    <w:rsid w:val="00C431BC"/>
    <w:rsid w:val="00C43C69"/>
    <w:rsid w:val="00C43EB4"/>
    <w:rsid w:val="00C45165"/>
    <w:rsid w:val="00C46BB0"/>
    <w:rsid w:val="00C51401"/>
    <w:rsid w:val="00C551A3"/>
    <w:rsid w:val="00C57DBA"/>
    <w:rsid w:val="00C610EB"/>
    <w:rsid w:val="00C62507"/>
    <w:rsid w:val="00C639FA"/>
    <w:rsid w:val="00C81C14"/>
    <w:rsid w:val="00C820F4"/>
    <w:rsid w:val="00C870B0"/>
    <w:rsid w:val="00C9361F"/>
    <w:rsid w:val="00CA2401"/>
    <w:rsid w:val="00CA4252"/>
    <w:rsid w:val="00CA7778"/>
    <w:rsid w:val="00CB04DF"/>
    <w:rsid w:val="00CB4626"/>
    <w:rsid w:val="00CC2C5C"/>
    <w:rsid w:val="00CC3366"/>
    <w:rsid w:val="00CD127D"/>
    <w:rsid w:val="00CD35C5"/>
    <w:rsid w:val="00CD5AD7"/>
    <w:rsid w:val="00CD7618"/>
    <w:rsid w:val="00CD77AC"/>
    <w:rsid w:val="00CE3EA5"/>
    <w:rsid w:val="00CE4096"/>
    <w:rsid w:val="00CF4388"/>
    <w:rsid w:val="00D00E02"/>
    <w:rsid w:val="00D01024"/>
    <w:rsid w:val="00D02DE2"/>
    <w:rsid w:val="00D032A3"/>
    <w:rsid w:val="00D0722F"/>
    <w:rsid w:val="00D0784F"/>
    <w:rsid w:val="00D1046B"/>
    <w:rsid w:val="00D11372"/>
    <w:rsid w:val="00D1331F"/>
    <w:rsid w:val="00D172F8"/>
    <w:rsid w:val="00D22D4F"/>
    <w:rsid w:val="00D23509"/>
    <w:rsid w:val="00D2399F"/>
    <w:rsid w:val="00D27492"/>
    <w:rsid w:val="00D35781"/>
    <w:rsid w:val="00D3647E"/>
    <w:rsid w:val="00D401E8"/>
    <w:rsid w:val="00D40F50"/>
    <w:rsid w:val="00D4543D"/>
    <w:rsid w:val="00D5036E"/>
    <w:rsid w:val="00D56FDB"/>
    <w:rsid w:val="00D60CD2"/>
    <w:rsid w:val="00D63202"/>
    <w:rsid w:val="00D70F6E"/>
    <w:rsid w:val="00D73F11"/>
    <w:rsid w:val="00D74F3D"/>
    <w:rsid w:val="00D75323"/>
    <w:rsid w:val="00D7771A"/>
    <w:rsid w:val="00D81D37"/>
    <w:rsid w:val="00D853B5"/>
    <w:rsid w:val="00D92B50"/>
    <w:rsid w:val="00D93310"/>
    <w:rsid w:val="00DA1ACE"/>
    <w:rsid w:val="00DB2375"/>
    <w:rsid w:val="00DB257C"/>
    <w:rsid w:val="00DB296F"/>
    <w:rsid w:val="00DB2B3B"/>
    <w:rsid w:val="00DC2296"/>
    <w:rsid w:val="00DC3127"/>
    <w:rsid w:val="00DC3C9E"/>
    <w:rsid w:val="00DC45BF"/>
    <w:rsid w:val="00DC61B1"/>
    <w:rsid w:val="00DD181B"/>
    <w:rsid w:val="00DE155C"/>
    <w:rsid w:val="00DE2984"/>
    <w:rsid w:val="00DE2CB6"/>
    <w:rsid w:val="00DE543C"/>
    <w:rsid w:val="00DF32B2"/>
    <w:rsid w:val="00E10DDA"/>
    <w:rsid w:val="00E11EB0"/>
    <w:rsid w:val="00E135C7"/>
    <w:rsid w:val="00E15836"/>
    <w:rsid w:val="00E20F5F"/>
    <w:rsid w:val="00E2103E"/>
    <w:rsid w:val="00E22786"/>
    <w:rsid w:val="00E27CC0"/>
    <w:rsid w:val="00E40052"/>
    <w:rsid w:val="00E419A3"/>
    <w:rsid w:val="00E42562"/>
    <w:rsid w:val="00E4500F"/>
    <w:rsid w:val="00E51A52"/>
    <w:rsid w:val="00E54DCB"/>
    <w:rsid w:val="00E561CA"/>
    <w:rsid w:val="00E5790F"/>
    <w:rsid w:val="00E67A82"/>
    <w:rsid w:val="00E712F7"/>
    <w:rsid w:val="00E8548F"/>
    <w:rsid w:val="00E86678"/>
    <w:rsid w:val="00E90A82"/>
    <w:rsid w:val="00E91185"/>
    <w:rsid w:val="00E971AB"/>
    <w:rsid w:val="00EA3949"/>
    <w:rsid w:val="00EA3D08"/>
    <w:rsid w:val="00EA66C9"/>
    <w:rsid w:val="00EB0672"/>
    <w:rsid w:val="00EB2F3E"/>
    <w:rsid w:val="00EC1357"/>
    <w:rsid w:val="00EC1373"/>
    <w:rsid w:val="00EC5B14"/>
    <w:rsid w:val="00EC7062"/>
    <w:rsid w:val="00ED0BC5"/>
    <w:rsid w:val="00ED20AB"/>
    <w:rsid w:val="00ED29F7"/>
    <w:rsid w:val="00EE0430"/>
    <w:rsid w:val="00EE078F"/>
    <w:rsid w:val="00EF0F72"/>
    <w:rsid w:val="00EF1853"/>
    <w:rsid w:val="00EF7002"/>
    <w:rsid w:val="00F03EEA"/>
    <w:rsid w:val="00F05C2B"/>
    <w:rsid w:val="00F11830"/>
    <w:rsid w:val="00F17135"/>
    <w:rsid w:val="00F20E35"/>
    <w:rsid w:val="00F222E1"/>
    <w:rsid w:val="00F27DC2"/>
    <w:rsid w:val="00F326D8"/>
    <w:rsid w:val="00F4064C"/>
    <w:rsid w:val="00F40F3B"/>
    <w:rsid w:val="00F46ADC"/>
    <w:rsid w:val="00F519C2"/>
    <w:rsid w:val="00F53A30"/>
    <w:rsid w:val="00F56131"/>
    <w:rsid w:val="00F56C44"/>
    <w:rsid w:val="00F644A8"/>
    <w:rsid w:val="00F670F8"/>
    <w:rsid w:val="00F77112"/>
    <w:rsid w:val="00F84238"/>
    <w:rsid w:val="00F8433C"/>
    <w:rsid w:val="00F87A76"/>
    <w:rsid w:val="00F94966"/>
    <w:rsid w:val="00FA1B35"/>
    <w:rsid w:val="00FA24A6"/>
    <w:rsid w:val="00FB29EE"/>
    <w:rsid w:val="00FB2ABF"/>
    <w:rsid w:val="00FB4213"/>
    <w:rsid w:val="00FB5160"/>
    <w:rsid w:val="00FB7717"/>
    <w:rsid w:val="00FC298C"/>
    <w:rsid w:val="00FC55DA"/>
    <w:rsid w:val="00FC6DB3"/>
    <w:rsid w:val="00FD0962"/>
    <w:rsid w:val="00FE05B4"/>
    <w:rsid w:val="00FE3954"/>
    <w:rsid w:val="00FE4FFF"/>
    <w:rsid w:val="00FE727C"/>
    <w:rsid w:val="00FE7439"/>
    <w:rsid w:val="00FF3FFE"/>
    <w:rsid w:val="00FF4516"/>
    <w:rsid w:val="00FF4D96"/>
    <w:rsid w:val="00FF76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3B5ED5-5430-453B-ACEC-8C92937B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544"/>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Intestazione.int,Header1"/>
    <w:basedOn w:val="Normal"/>
    <w:link w:val="HeaderChar"/>
    <w:unhideWhenUsed/>
    <w:rsid w:val="006725DD"/>
    <w:pPr>
      <w:tabs>
        <w:tab w:val="center" w:pos="4680"/>
        <w:tab w:val="right" w:pos="9360"/>
      </w:tabs>
      <w:spacing w:after="0" w:line="240" w:lineRule="auto"/>
    </w:pPr>
  </w:style>
  <w:style w:type="character" w:customStyle="1" w:styleId="HeaderChar">
    <w:name w:val="Header Char"/>
    <w:aliases w:val=" Char Char,Char Char,Intestazione.int Char,Header1 Char"/>
    <w:basedOn w:val="DefaultParagraphFont"/>
    <w:link w:val="Header"/>
    <w:rsid w:val="006725DD"/>
  </w:style>
  <w:style w:type="paragraph" w:styleId="Footer">
    <w:name w:val="footer"/>
    <w:basedOn w:val="Normal"/>
    <w:link w:val="FooterChar"/>
    <w:uiPriority w:val="99"/>
    <w:unhideWhenUsed/>
    <w:qFormat/>
    <w:rsid w:val="0067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5DD"/>
  </w:style>
  <w:style w:type="character" w:styleId="Hyperlink">
    <w:name w:val="Hyperlink"/>
    <w:basedOn w:val="DefaultParagraphFont"/>
    <w:uiPriority w:val="99"/>
    <w:unhideWhenUsed/>
    <w:rsid w:val="006725DD"/>
    <w:rPr>
      <w:color w:val="0563C1" w:themeColor="hyperlink"/>
      <w:u w:val="single"/>
    </w:rPr>
  </w:style>
  <w:style w:type="paragraph" w:styleId="ListParagraph">
    <w:name w:val="List Paragraph"/>
    <w:basedOn w:val="Normal"/>
    <w:uiPriority w:val="34"/>
    <w:qFormat/>
    <w:rsid w:val="006C7CC9"/>
    <w:pPr>
      <w:ind w:left="720"/>
      <w:contextualSpacing/>
    </w:pPr>
  </w:style>
  <w:style w:type="paragraph" w:customStyle="1" w:styleId="Default">
    <w:name w:val="Default"/>
    <w:rsid w:val="00FB771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FB7717"/>
    <w:pPr>
      <w:spacing w:after="0" w:line="240" w:lineRule="auto"/>
      <w:jc w:val="both"/>
    </w:pPr>
    <w:rPr>
      <w:rFonts w:ascii="Times New Roman" w:eastAsia="MS Mincho" w:hAnsi="Times New Roman" w:cs="Times New Roman"/>
      <w:sz w:val="24"/>
      <w:szCs w:val="24"/>
      <w:lang w:val="en-GB"/>
    </w:rPr>
  </w:style>
  <w:style w:type="character" w:customStyle="1" w:styleId="BodyTextChar">
    <w:name w:val="Body Text Char"/>
    <w:basedOn w:val="DefaultParagraphFont"/>
    <w:link w:val="BodyText"/>
    <w:rsid w:val="00FB7717"/>
    <w:rPr>
      <w:rFonts w:ascii="Times New Roman" w:eastAsia="MS Mincho" w:hAnsi="Times New Roman" w:cs="Times New Roman"/>
      <w:sz w:val="24"/>
      <w:szCs w:val="24"/>
      <w:lang w:val="en-GB"/>
    </w:rPr>
  </w:style>
  <w:style w:type="paragraph" w:styleId="NoSpacing">
    <w:name w:val="No Spacing"/>
    <w:link w:val="NoSpacingChar"/>
    <w:uiPriority w:val="1"/>
    <w:qFormat/>
    <w:rsid w:val="009A2F6B"/>
    <w:pPr>
      <w:spacing w:after="0" w:line="240" w:lineRule="auto"/>
    </w:pPr>
    <w:rPr>
      <w:rFonts w:ascii="Times New Roman" w:eastAsia="SimSun" w:hAnsi="Times New Roman" w:cs="Times New Roman"/>
      <w:noProof/>
      <w:sz w:val="24"/>
      <w:szCs w:val="24"/>
      <w:lang w:val="sq-AL" w:eastAsia="zh-CN"/>
    </w:rPr>
  </w:style>
  <w:style w:type="character" w:customStyle="1" w:styleId="NoSpacingChar">
    <w:name w:val="No Spacing Char"/>
    <w:link w:val="NoSpacing"/>
    <w:uiPriority w:val="1"/>
    <w:locked/>
    <w:rsid w:val="009A2F6B"/>
    <w:rPr>
      <w:rFonts w:ascii="Times New Roman" w:eastAsia="SimSun" w:hAnsi="Times New Roman" w:cs="Times New Roman"/>
      <w:noProof/>
      <w:sz w:val="24"/>
      <w:szCs w:val="24"/>
      <w:lang w:val="sq-AL" w:eastAsia="zh-CN"/>
    </w:rPr>
  </w:style>
  <w:style w:type="character" w:styleId="Emphasis">
    <w:name w:val="Emphasis"/>
    <w:basedOn w:val="DefaultParagraphFont"/>
    <w:uiPriority w:val="20"/>
    <w:qFormat/>
    <w:rsid w:val="00BA08CC"/>
    <w:rPr>
      <w:i/>
      <w:iCs/>
    </w:rPr>
  </w:style>
  <w:style w:type="paragraph" w:styleId="BalloonText">
    <w:name w:val="Balloon Text"/>
    <w:basedOn w:val="Normal"/>
    <w:link w:val="BalloonTextChar"/>
    <w:uiPriority w:val="99"/>
    <w:semiHidden/>
    <w:unhideWhenUsed/>
    <w:rsid w:val="00B53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EC"/>
    <w:rPr>
      <w:rFonts w:ascii="Tahoma" w:hAnsi="Tahoma" w:cs="Tahoma"/>
      <w:sz w:val="16"/>
      <w:szCs w:val="16"/>
    </w:rPr>
  </w:style>
  <w:style w:type="character" w:customStyle="1" w:styleId="twocolumnlayoutmenuheader2">
    <w:name w:val="twocolumnlayoutmenuheader2"/>
    <w:basedOn w:val="DefaultParagraphFont"/>
    <w:rsid w:val="00A04B1A"/>
  </w:style>
  <w:style w:type="paragraph" w:styleId="Subtitle">
    <w:name w:val="Subtitle"/>
    <w:basedOn w:val="Normal"/>
    <w:link w:val="SubtitleChar"/>
    <w:qFormat/>
    <w:rsid w:val="001B2408"/>
    <w:pPr>
      <w:spacing w:after="0" w:line="240" w:lineRule="auto"/>
      <w:jc w:val="center"/>
    </w:pPr>
    <w:rPr>
      <w:rFonts w:ascii="Times New Roman" w:eastAsia="Times New Roman" w:hAnsi="Times New Roman" w:cs="Times New Roman"/>
      <w:b/>
      <w:sz w:val="24"/>
      <w:szCs w:val="20"/>
      <w:lang w:val="en-GB" w:eastAsia="it-IT"/>
    </w:rPr>
  </w:style>
  <w:style w:type="character" w:customStyle="1" w:styleId="SubtitleChar">
    <w:name w:val="Subtitle Char"/>
    <w:basedOn w:val="DefaultParagraphFont"/>
    <w:link w:val="Subtitle"/>
    <w:rsid w:val="001B2408"/>
    <w:rPr>
      <w:rFonts w:ascii="Times New Roman" w:eastAsia="Times New Roman" w:hAnsi="Times New Roman" w:cs="Times New Roman"/>
      <w:b/>
      <w:sz w:val="24"/>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455572">
      <w:bodyDiv w:val="1"/>
      <w:marLeft w:val="0"/>
      <w:marRight w:val="0"/>
      <w:marTop w:val="0"/>
      <w:marBottom w:val="0"/>
      <w:divBdr>
        <w:top w:val="none" w:sz="0" w:space="0" w:color="auto"/>
        <w:left w:val="none" w:sz="0" w:space="0" w:color="auto"/>
        <w:bottom w:val="none" w:sz="0" w:space="0" w:color="auto"/>
        <w:right w:val="none" w:sz="0" w:space="0" w:color="auto"/>
      </w:divBdr>
    </w:div>
    <w:div w:id="888957140">
      <w:bodyDiv w:val="1"/>
      <w:marLeft w:val="0"/>
      <w:marRight w:val="0"/>
      <w:marTop w:val="0"/>
      <w:marBottom w:val="0"/>
      <w:divBdr>
        <w:top w:val="none" w:sz="0" w:space="0" w:color="auto"/>
        <w:left w:val="none" w:sz="0" w:space="0" w:color="auto"/>
        <w:bottom w:val="none" w:sz="0" w:space="0" w:color="auto"/>
        <w:right w:val="none" w:sz="0" w:space="0" w:color="auto"/>
      </w:divBdr>
    </w:div>
    <w:div w:id="1118912132">
      <w:bodyDiv w:val="1"/>
      <w:marLeft w:val="0"/>
      <w:marRight w:val="0"/>
      <w:marTop w:val="0"/>
      <w:marBottom w:val="0"/>
      <w:divBdr>
        <w:top w:val="none" w:sz="0" w:space="0" w:color="auto"/>
        <w:left w:val="none" w:sz="0" w:space="0" w:color="auto"/>
        <w:bottom w:val="none" w:sz="0" w:space="0" w:color="auto"/>
        <w:right w:val="none" w:sz="0" w:space="0" w:color="auto"/>
      </w:divBdr>
    </w:div>
    <w:div w:id="1126317389">
      <w:bodyDiv w:val="1"/>
      <w:marLeft w:val="0"/>
      <w:marRight w:val="0"/>
      <w:marTop w:val="0"/>
      <w:marBottom w:val="0"/>
      <w:divBdr>
        <w:top w:val="none" w:sz="0" w:space="0" w:color="auto"/>
        <w:left w:val="none" w:sz="0" w:space="0" w:color="auto"/>
        <w:bottom w:val="none" w:sz="0" w:space="0" w:color="auto"/>
        <w:right w:val="none" w:sz="0" w:space="0" w:color="auto"/>
      </w:divBdr>
    </w:div>
    <w:div w:id="1141994670">
      <w:bodyDiv w:val="1"/>
      <w:marLeft w:val="0"/>
      <w:marRight w:val="0"/>
      <w:marTop w:val="0"/>
      <w:marBottom w:val="0"/>
      <w:divBdr>
        <w:top w:val="none" w:sz="0" w:space="0" w:color="auto"/>
        <w:left w:val="none" w:sz="0" w:space="0" w:color="auto"/>
        <w:bottom w:val="none" w:sz="0" w:space="0" w:color="auto"/>
        <w:right w:val="none" w:sz="0" w:space="0" w:color="auto"/>
      </w:divBdr>
    </w:div>
    <w:div w:id="1264148726">
      <w:bodyDiv w:val="1"/>
      <w:marLeft w:val="0"/>
      <w:marRight w:val="0"/>
      <w:marTop w:val="0"/>
      <w:marBottom w:val="0"/>
      <w:divBdr>
        <w:top w:val="none" w:sz="0" w:space="0" w:color="auto"/>
        <w:left w:val="none" w:sz="0" w:space="0" w:color="auto"/>
        <w:bottom w:val="none" w:sz="0" w:space="0" w:color="auto"/>
        <w:right w:val="none" w:sz="0" w:space="0" w:color="auto"/>
      </w:divBdr>
    </w:div>
    <w:div w:id="1561094242">
      <w:bodyDiv w:val="1"/>
      <w:marLeft w:val="0"/>
      <w:marRight w:val="0"/>
      <w:marTop w:val="0"/>
      <w:marBottom w:val="0"/>
      <w:divBdr>
        <w:top w:val="none" w:sz="0" w:space="0" w:color="auto"/>
        <w:left w:val="none" w:sz="0" w:space="0" w:color="auto"/>
        <w:bottom w:val="none" w:sz="0" w:space="0" w:color="auto"/>
        <w:right w:val="none" w:sz="0" w:space="0" w:color="auto"/>
      </w:divBdr>
    </w:div>
    <w:div w:id="1677687650">
      <w:bodyDiv w:val="1"/>
      <w:marLeft w:val="0"/>
      <w:marRight w:val="0"/>
      <w:marTop w:val="0"/>
      <w:marBottom w:val="0"/>
      <w:divBdr>
        <w:top w:val="none" w:sz="0" w:space="0" w:color="auto"/>
        <w:left w:val="none" w:sz="0" w:space="0" w:color="auto"/>
        <w:bottom w:val="none" w:sz="0" w:space="0" w:color="auto"/>
        <w:right w:val="none" w:sz="0" w:space="0" w:color="auto"/>
      </w:divBdr>
    </w:div>
    <w:div w:id="187303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2F0CA-A166-47E8-A784-CC2C8797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5</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Julvit Shazivari</dc:creator>
  <cp:lastModifiedBy>julvit shazivari</cp:lastModifiedBy>
  <cp:revision>28</cp:revision>
  <cp:lastPrinted>2022-06-06T07:18:00Z</cp:lastPrinted>
  <dcterms:created xsi:type="dcterms:W3CDTF">2017-11-22T11:04:00Z</dcterms:created>
  <dcterms:modified xsi:type="dcterms:W3CDTF">2022-09-16T11:15:00Z</dcterms:modified>
</cp:coreProperties>
</file>