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B1" w:rsidRPr="00103BC3" w:rsidRDefault="005637A7" w:rsidP="0036709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  <w:lang w:eastAsia="sq-A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-306070</wp:posOffset>
            </wp:positionH>
            <wp:positionV relativeFrom="page">
              <wp:posOffset>508000</wp:posOffset>
            </wp:positionV>
            <wp:extent cx="6587490" cy="863600"/>
            <wp:effectExtent l="0" t="0" r="3810" b="0"/>
            <wp:wrapTopAndBottom/>
            <wp:docPr id="2" name="Picture 2" descr="5-ministria-financave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-ministria-financave-Grey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" t="15433" r="5" b="14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49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9B1" w:rsidRPr="00103BC3">
        <w:rPr>
          <w:b/>
          <w:bCs/>
        </w:rPr>
        <w:t>MINISTRIA E FINANCAVE DHE EKONOMISË</w:t>
      </w:r>
    </w:p>
    <w:p w:rsidR="004C69B1" w:rsidRPr="00103BC3" w:rsidRDefault="004C69B1" w:rsidP="0036709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lang w:eastAsia="zh-CN"/>
        </w:rPr>
      </w:pPr>
      <w:r w:rsidRPr="00103BC3">
        <w:rPr>
          <w:b/>
          <w:bCs/>
        </w:rPr>
        <w:t>DREJTORIA E APELIMIT TATIMOR</w:t>
      </w:r>
    </w:p>
    <w:p w:rsidR="008C5E2F" w:rsidRDefault="008C5E2F" w:rsidP="0036709A">
      <w:pPr>
        <w:widowControl w:val="0"/>
        <w:tabs>
          <w:tab w:val="left" w:pos="0"/>
        </w:tabs>
        <w:spacing w:line="276" w:lineRule="auto"/>
        <w:jc w:val="both"/>
      </w:pPr>
    </w:p>
    <w:p w:rsidR="004C69B1" w:rsidRPr="00103BC3" w:rsidRDefault="004C69B1" w:rsidP="0036709A">
      <w:pPr>
        <w:widowControl w:val="0"/>
        <w:tabs>
          <w:tab w:val="left" w:pos="0"/>
        </w:tabs>
        <w:spacing w:line="276" w:lineRule="auto"/>
        <w:jc w:val="both"/>
      </w:pPr>
      <w:r w:rsidRPr="00103BC3">
        <w:t>Nr.</w:t>
      </w:r>
      <w:r w:rsidR="008C5E2F">
        <w:t xml:space="preserve"> </w:t>
      </w:r>
      <w:r w:rsidR="00F55D44">
        <w:t>______</w:t>
      </w:r>
      <w:r w:rsidR="008C5E2F">
        <w:t xml:space="preserve"> </w:t>
      </w:r>
      <w:r w:rsidRPr="00103BC3">
        <w:t>/____</w:t>
      </w:r>
      <w:r w:rsidR="008C5E2F">
        <w:t xml:space="preserve">  p</w:t>
      </w:r>
      <w:r w:rsidRPr="00103BC3">
        <w:t>rot.</w:t>
      </w:r>
      <w:r w:rsidRPr="00103BC3">
        <w:tab/>
      </w:r>
      <w:r w:rsidRPr="00103BC3">
        <w:tab/>
      </w:r>
      <w:r w:rsidRPr="00103BC3">
        <w:tab/>
      </w:r>
      <w:r w:rsidRPr="00103BC3">
        <w:tab/>
      </w:r>
      <w:r w:rsidRPr="00103BC3">
        <w:tab/>
      </w:r>
      <w:r w:rsidRPr="00103BC3">
        <w:tab/>
        <w:t xml:space="preserve">       Tiranë, më___.___.202</w:t>
      </w:r>
      <w:r w:rsidR="008C5E2F">
        <w:t>1</w:t>
      </w:r>
      <w:r w:rsidRPr="00103BC3">
        <w:t xml:space="preserve"> </w:t>
      </w:r>
    </w:p>
    <w:p w:rsidR="004C69B1" w:rsidRDefault="004C69B1" w:rsidP="0036709A">
      <w:pPr>
        <w:widowControl w:val="0"/>
        <w:tabs>
          <w:tab w:val="left" w:pos="0"/>
        </w:tabs>
        <w:spacing w:line="276" w:lineRule="auto"/>
        <w:jc w:val="center"/>
        <w:rPr>
          <w:b/>
        </w:rPr>
      </w:pPr>
    </w:p>
    <w:p w:rsidR="00E43367" w:rsidRPr="00103BC3" w:rsidRDefault="00E43367" w:rsidP="0036709A">
      <w:pPr>
        <w:widowControl w:val="0"/>
        <w:tabs>
          <w:tab w:val="left" w:pos="0"/>
        </w:tabs>
        <w:spacing w:line="276" w:lineRule="auto"/>
        <w:jc w:val="center"/>
        <w:rPr>
          <w:b/>
        </w:rPr>
      </w:pPr>
    </w:p>
    <w:p w:rsidR="004C69B1" w:rsidRPr="00103BC3" w:rsidRDefault="004C69B1" w:rsidP="0036709A">
      <w:pPr>
        <w:widowControl w:val="0"/>
        <w:tabs>
          <w:tab w:val="left" w:pos="0"/>
        </w:tabs>
        <w:spacing w:line="276" w:lineRule="auto"/>
        <w:jc w:val="center"/>
        <w:rPr>
          <w:b/>
        </w:rPr>
      </w:pPr>
      <w:r w:rsidRPr="00103BC3">
        <w:rPr>
          <w:b/>
        </w:rPr>
        <w:t>V E N D I M</w:t>
      </w:r>
    </w:p>
    <w:p w:rsidR="004C69B1" w:rsidRPr="00103BC3" w:rsidRDefault="004C69B1" w:rsidP="0036709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</w:rPr>
      </w:pPr>
    </w:p>
    <w:p w:rsidR="008C5E2F" w:rsidRPr="005F6C63" w:rsidRDefault="008C5E2F" w:rsidP="008C5E2F">
      <w:pPr>
        <w:widowControl w:val="0"/>
        <w:spacing w:line="276" w:lineRule="auto"/>
        <w:jc w:val="both"/>
      </w:pPr>
      <w:r w:rsidRPr="005F6C63">
        <w:t>Drejtoria e Apelimit Tatimor, në zbatim të kreut XIII të Ligjit nr. 9920, datë 19.05.2008 “Për Procedurat Tatimore në RSH”, mori në shqyrtim kërkesën ankimore, që i përket:</w:t>
      </w:r>
    </w:p>
    <w:p w:rsidR="004C69B1" w:rsidRPr="00103BC3" w:rsidRDefault="004C69B1" w:rsidP="0036709A">
      <w:pPr>
        <w:widowControl w:val="0"/>
        <w:tabs>
          <w:tab w:val="left" w:pos="0"/>
        </w:tabs>
        <w:spacing w:line="276" w:lineRule="auto"/>
        <w:jc w:val="both"/>
      </w:pPr>
    </w:p>
    <w:p w:rsidR="004C69B1" w:rsidRPr="00103BC3" w:rsidRDefault="004C69B1" w:rsidP="0036709A">
      <w:pPr>
        <w:widowControl w:val="0"/>
        <w:tabs>
          <w:tab w:val="left" w:pos="0"/>
        </w:tabs>
        <w:spacing w:line="276" w:lineRule="auto"/>
        <w:jc w:val="both"/>
      </w:pPr>
      <w:r w:rsidRPr="00103BC3">
        <w:t xml:space="preserve">KËRKUES: </w:t>
      </w:r>
      <w:r w:rsidR="00F55D44">
        <w:t xml:space="preserve"> ______________</w:t>
      </w:r>
      <w:r w:rsidR="004B1C98" w:rsidRPr="00103BC3">
        <w:t xml:space="preserve"> </w:t>
      </w:r>
    </w:p>
    <w:p w:rsidR="004C69B1" w:rsidRPr="00103BC3" w:rsidRDefault="004C69B1" w:rsidP="008C5E2F">
      <w:pPr>
        <w:widowControl w:val="0"/>
        <w:tabs>
          <w:tab w:val="left" w:pos="1276"/>
        </w:tabs>
        <w:spacing w:line="276" w:lineRule="auto"/>
        <w:ind w:left="1440" w:hanging="1440"/>
        <w:jc w:val="both"/>
      </w:pPr>
      <w:r w:rsidRPr="00103BC3">
        <w:t xml:space="preserve">OBJEKTI:  </w:t>
      </w:r>
      <w:r w:rsidR="00E43367">
        <w:tab/>
      </w:r>
      <w:r w:rsidR="00E43367">
        <w:tab/>
      </w:r>
      <w:r w:rsidRPr="00103BC3">
        <w:t xml:space="preserve">Ankim </w:t>
      </w:r>
      <w:r w:rsidR="008C5E2F" w:rsidRPr="00103BC3">
        <w:t xml:space="preserve">ndaj </w:t>
      </w:r>
      <w:r w:rsidR="004B1C98">
        <w:t>detyrimeve tatimore në vlerën 415.292 lekë, sipas njoftim vlerësimit të DRT Durrës</w:t>
      </w:r>
    </w:p>
    <w:p w:rsidR="004C69B1" w:rsidRPr="00103BC3" w:rsidRDefault="004C69B1" w:rsidP="0036709A">
      <w:pPr>
        <w:widowControl w:val="0"/>
        <w:tabs>
          <w:tab w:val="left" w:pos="0"/>
        </w:tabs>
        <w:spacing w:line="276" w:lineRule="auto"/>
        <w:jc w:val="both"/>
      </w:pPr>
    </w:p>
    <w:p w:rsidR="004C69B1" w:rsidRPr="00103BC3" w:rsidRDefault="008C5E2F" w:rsidP="0036709A">
      <w:pPr>
        <w:widowControl w:val="0"/>
        <w:tabs>
          <w:tab w:val="left" w:pos="0"/>
        </w:tabs>
        <w:spacing w:line="276" w:lineRule="auto"/>
        <w:jc w:val="both"/>
      </w:pPr>
      <w:r>
        <w:rPr>
          <w:rFonts w:eastAsia="Times New Roman"/>
          <w:lang w:eastAsia="it-IT"/>
        </w:rPr>
        <w:t>Nga shqyrtimi paraprak i k</w:t>
      </w:r>
      <w:r w:rsidR="009E12F3">
        <w:rPr>
          <w:rFonts w:eastAsia="Times New Roman"/>
          <w:lang w:eastAsia="it-IT"/>
        </w:rPr>
        <w:t>ë</w:t>
      </w:r>
      <w:r>
        <w:rPr>
          <w:rFonts w:eastAsia="Times New Roman"/>
          <w:lang w:eastAsia="it-IT"/>
        </w:rPr>
        <w:t>rkes</w:t>
      </w:r>
      <w:r w:rsidR="009E12F3">
        <w:rPr>
          <w:rFonts w:eastAsia="Times New Roman"/>
          <w:lang w:eastAsia="it-IT"/>
        </w:rPr>
        <w:t>ë</w:t>
      </w:r>
      <w:r>
        <w:rPr>
          <w:rFonts w:eastAsia="Times New Roman"/>
          <w:lang w:eastAsia="it-IT"/>
        </w:rPr>
        <w:t>s ankimore, konstatohet se d</w:t>
      </w:r>
      <w:r w:rsidR="0036709A">
        <w:t xml:space="preserve">okumenti bashkëlidhur </w:t>
      </w:r>
      <w:r w:rsidR="00E43367">
        <w:t>ankimit</w:t>
      </w:r>
      <w:r w:rsidR="0036709A">
        <w:t>,</w:t>
      </w:r>
      <w:r w:rsidR="004C69B1" w:rsidRPr="00103BC3">
        <w:t xml:space="preserve"> </w:t>
      </w:r>
      <w:r w:rsidR="0036709A">
        <w:t xml:space="preserve">ku </w:t>
      </w:r>
      <w:r w:rsidR="004B1C98">
        <w:t>janë pasqyruar detyrimet tatimore</w:t>
      </w:r>
      <w:r w:rsidR="0036709A">
        <w:t xml:space="preserve"> </w:t>
      </w:r>
      <w:r w:rsidRPr="00103BC3">
        <w:rPr>
          <w:rFonts w:eastAsia="Times New Roman"/>
          <w:lang w:eastAsia="it-IT"/>
        </w:rPr>
        <w:t xml:space="preserve">në </w:t>
      </w:r>
      <w:r>
        <w:rPr>
          <w:rFonts w:eastAsia="Times New Roman"/>
          <w:lang w:eastAsia="it-IT"/>
        </w:rPr>
        <w:t>vler</w:t>
      </w:r>
      <w:r w:rsidR="009E12F3">
        <w:rPr>
          <w:rFonts w:eastAsia="Times New Roman"/>
          <w:lang w:eastAsia="it-IT"/>
        </w:rPr>
        <w:t>ë</w:t>
      </w:r>
      <w:r>
        <w:rPr>
          <w:rFonts w:eastAsia="Times New Roman"/>
          <w:lang w:eastAsia="it-IT"/>
        </w:rPr>
        <w:t>n</w:t>
      </w:r>
      <w:r w:rsidRPr="00103BC3">
        <w:rPr>
          <w:rFonts w:eastAsia="Times New Roman"/>
          <w:lang w:eastAsia="it-IT"/>
        </w:rPr>
        <w:t xml:space="preserve"> </w:t>
      </w:r>
      <w:r w:rsidR="004B1C98">
        <w:rPr>
          <w:rFonts w:eastAsia="Times New Roman"/>
          <w:lang w:eastAsia="it-IT"/>
        </w:rPr>
        <w:t xml:space="preserve">415.292 lekë </w:t>
      </w:r>
      <w:r w:rsidR="0036709A">
        <w:t xml:space="preserve">është </w:t>
      </w:r>
      <w:r w:rsidR="004C69B1" w:rsidRPr="00103BC3">
        <w:t xml:space="preserve">Njoftim Vlerësimi për </w:t>
      </w:r>
      <w:r w:rsidR="0036709A">
        <w:t>D</w:t>
      </w:r>
      <w:r w:rsidR="004C69B1" w:rsidRPr="00103BC3">
        <w:t>etyrimet</w:t>
      </w:r>
      <w:r w:rsidR="00F55D44">
        <w:t xml:space="preserve"> i printuar nga sistemi tatimor informatik</w:t>
      </w:r>
      <w:r w:rsidR="004C69B1" w:rsidRPr="00103BC3">
        <w:t xml:space="preserve">, i cili </w:t>
      </w:r>
      <w:r w:rsidR="00E43367">
        <w:t xml:space="preserve">nuk </w:t>
      </w:r>
      <w:r w:rsidR="0036709A">
        <w:t>ë</w:t>
      </w:r>
      <w:r w:rsidR="00E43367">
        <w:t>sht</w:t>
      </w:r>
      <w:r w:rsidR="0036709A">
        <w:t>ë</w:t>
      </w:r>
      <w:r w:rsidR="00E43367">
        <w:t xml:space="preserve"> i vulosur dhe i n</w:t>
      </w:r>
      <w:r w:rsidR="0036709A">
        <w:t>ë</w:t>
      </w:r>
      <w:r w:rsidR="00E43367">
        <w:t>nshkruar (as elektronikisht) nga Drejtori i Drejtoris</w:t>
      </w:r>
      <w:r w:rsidR="0036709A">
        <w:t>ë</w:t>
      </w:r>
      <w:r w:rsidR="00E43367">
        <w:t xml:space="preserve"> Rajonale Tatimore </w:t>
      </w:r>
      <w:r w:rsidR="004B1C98">
        <w:t>Durrës</w:t>
      </w:r>
      <w:r w:rsidR="004C69B1" w:rsidRPr="00103BC3">
        <w:t>.</w:t>
      </w:r>
    </w:p>
    <w:p w:rsidR="004C69B1" w:rsidRPr="00103BC3" w:rsidRDefault="004C69B1" w:rsidP="0036709A">
      <w:pPr>
        <w:widowControl w:val="0"/>
        <w:tabs>
          <w:tab w:val="left" w:pos="0"/>
          <w:tab w:val="left" w:pos="1260"/>
        </w:tabs>
        <w:spacing w:line="276" w:lineRule="auto"/>
        <w:jc w:val="both"/>
        <w:rPr>
          <w:bCs/>
        </w:rPr>
      </w:pPr>
    </w:p>
    <w:p w:rsidR="004C69B1" w:rsidRPr="00103BC3" w:rsidRDefault="0036709A" w:rsidP="0036709A">
      <w:pPr>
        <w:widowControl w:val="0"/>
        <w:tabs>
          <w:tab w:val="left" w:pos="0"/>
          <w:tab w:val="left" w:pos="1260"/>
        </w:tabs>
        <w:spacing w:line="276" w:lineRule="auto"/>
        <w:jc w:val="both"/>
        <w:rPr>
          <w:bCs/>
        </w:rPr>
      </w:pPr>
      <w:r>
        <w:rPr>
          <w:bCs/>
        </w:rPr>
        <w:t>Fillimisht,</w:t>
      </w:r>
      <w:r w:rsidR="004C69B1" w:rsidRPr="00103BC3">
        <w:rPr>
          <w:bCs/>
        </w:rPr>
        <w:t xml:space="preserve"> DAT </w:t>
      </w:r>
      <w:r>
        <w:rPr>
          <w:bCs/>
        </w:rPr>
        <w:t xml:space="preserve">bën me dije se kjo drejtori </w:t>
      </w:r>
      <w:r w:rsidR="004C69B1" w:rsidRPr="00103BC3">
        <w:rPr>
          <w:bCs/>
        </w:rPr>
        <w:t>është organi që shqyrton vlefshmërinë dhe ligjshmërinë e akteve administrative të administratës tatimore, me objekt të përcaktuar sipas nenit 106 të Ligjit nr. 9920/2008 dhe Udhëzimit nr. 24/2008, nxjerrë në zbatim të tij. Pika 1 e këtij neni përcakton në mënyrë konkrete aktet që mund të bëhen objekt ankimi pranë kësaj drejtorie, ku citojmë “</w:t>
      </w:r>
      <w:r w:rsidR="004C69B1" w:rsidRPr="00103BC3">
        <w:rPr>
          <w:bCs/>
          <w:i/>
        </w:rPr>
        <w:t>Tatimpaguesi mund të ankimojë kundër çdo njoftim vlerësimi, çdo vendimi që ndikon në detyrimin e tij tatimor, çdo kërkese për rimbursim ose lehtësim tatimor, ose çdo akti ekzekutiv të posaçëm tatimor, në lidhje me tatimpaguesin</w:t>
      </w:r>
      <w:r w:rsidR="004C69B1" w:rsidRPr="00103BC3">
        <w:rPr>
          <w:bCs/>
        </w:rPr>
        <w:t>”.</w:t>
      </w:r>
    </w:p>
    <w:p w:rsidR="00E43367" w:rsidRDefault="00E43367" w:rsidP="0036709A">
      <w:pPr>
        <w:widowControl w:val="0"/>
        <w:tabs>
          <w:tab w:val="left" w:pos="0"/>
          <w:tab w:val="left" w:pos="1260"/>
        </w:tabs>
        <w:spacing w:line="276" w:lineRule="auto"/>
        <w:jc w:val="both"/>
        <w:rPr>
          <w:bCs/>
        </w:rPr>
      </w:pPr>
    </w:p>
    <w:p w:rsidR="00E43367" w:rsidRPr="00103BC3" w:rsidRDefault="00E43367" w:rsidP="0036709A">
      <w:pPr>
        <w:widowControl w:val="0"/>
        <w:tabs>
          <w:tab w:val="left" w:pos="0"/>
          <w:tab w:val="left" w:pos="1260"/>
        </w:tabs>
        <w:spacing w:line="276" w:lineRule="auto"/>
        <w:jc w:val="both"/>
        <w:rPr>
          <w:i/>
        </w:rPr>
      </w:pPr>
      <w:r>
        <w:rPr>
          <w:bCs/>
        </w:rPr>
        <w:t>Nd</w:t>
      </w:r>
      <w:r w:rsidR="0036709A">
        <w:rPr>
          <w:bCs/>
        </w:rPr>
        <w:t>ë</w:t>
      </w:r>
      <w:r>
        <w:rPr>
          <w:bCs/>
        </w:rPr>
        <w:t>rsa n</w:t>
      </w:r>
      <w:r w:rsidRPr="00103BC3">
        <w:t>ë pikën 106.2.4 të Udhëzimit nr.24/2008 është përcaktuar</w:t>
      </w:r>
      <w:r>
        <w:t xml:space="preserve"> se</w:t>
      </w:r>
      <w:r w:rsidRPr="00103BC3">
        <w:t xml:space="preserve"> “</w:t>
      </w:r>
      <w:r w:rsidRPr="00103BC3">
        <w:rPr>
          <w:i/>
        </w:rPr>
        <w:t xml:space="preserve">106.2.4 Ankimi me shkrim dhe dokumentacioni që i bashkëngjitet duhet të përfshijë informacionin e mëposhtëm: </w:t>
      </w:r>
    </w:p>
    <w:p w:rsidR="00E43367" w:rsidRPr="00103BC3" w:rsidRDefault="00E43367" w:rsidP="0036709A">
      <w:pPr>
        <w:widowControl w:val="0"/>
        <w:tabs>
          <w:tab w:val="left" w:pos="0"/>
        </w:tabs>
        <w:spacing w:line="276" w:lineRule="auto"/>
        <w:jc w:val="both"/>
        <w:rPr>
          <w:i/>
        </w:rPr>
      </w:pPr>
      <w:r w:rsidRPr="00103BC3">
        <w:rPr>
          <w:i/>
        </w:rPr>
        <w:t xml:space="preserve">a) emrin dhe adresën e tatimpaguesit, </w:t>
      </w:r>
    </w:p>
    <w:p w:rsidR="00E43367" w:rsidRPr="00103BC3" w:rsidRDefault="00E43367" w:rsidP="0036709A">
      <w:pPr>
        <w:widowControl w:val="0"/>
        <w:tabs>
          <w:tab w:val="left" w:pos="0"/>
        </w:tabs>
        <w:spacing w:line="276" w:lineRule="auto"/>
        <w:jc w:val="both"/>
        <w:rPr>
          <w:i/>
        </w:rPr>
      </w:pPr>
      <w:r w:rsidRPr="00103BC3">
        <w:rPr>
          <w:i/>
        </w:rPr>
        <w:t xml:space="preserve">b) numrin e regjistrimit të tatimpaguesit (NIPT), </w:t>
      </w:r>
    </w:p>
    <w:p w:rsidR="00E43367" w:rsidRPr="008C5E2F" w:rsidRDefault="00E43367" w:rsidP="0036709A">
      <w:pPr>
        <w:widowControl w:val="0"/>
        <w:tabs>
          <w:tab w:val="left" w:pos="0"/>
        </w:tabs>
        <w:spacing w:line="276" w:lineRule="auto"/>
        <w:jc w:val="both"/>
        <w:rPr>
          <w:i/>
          <w:u w:val="single"/>
        </w:rPr>
      </w:pPr>
      <w:r w:rsidRPr="008C5E2F">
        <w:rPr>
          <w:i/>
          <w:u w:val="single"/>
        </w:rPr>
        <w:t xml:space="preserve">c) aktin administrativ, të nxjerrë ose të panxjerrë nga organi tatimor, që është objekt ankimi duke përfshirë periudhën tatimore përkatëse dhe shumën e detyrimit tatimor, </w:t>
      </w:r>
    </w:p>
    <w:p w:rsidR="00E43367" w:rsidRPr="00103BC3" w:rsidRDefault="00E43367" w:rsidP="0036709A">
      <w:pPr>
        <w:widowControl w:val="0"/>
        <w:tabs>
          <w:tab w:val="left" w:pos="0"/>
        </w:tabs>
        <w:spacing w:line="276" w:lineRule="auto"/>
        <w:jc w:val="both"/>
        <w:rPr>
          <w:i/>
        </w:rPr>
      </w:pPr>
      <w:r w:rsidRPr="00103BC3">
        <w:rPr>
          <w:i/>
        </w:rPr>
        <w:t xml:space="preserve">ç) vërtetimin e pagesës se detyrimit tatimor qe ankimohet, ose garancinë bankare  </w:t>
      </w:r>
    </w:p>
    <w:p w:rsidR="00E43367" w:rsidRPr="00103BC3" w:rsidRDefault="00E43367" w:rsidP="0036709A">
      <w:pPr>
        <w:widowControl w:val="0"/>
        <w:tabs>
          <w:tab w:val="left" w:pos="0"/>
        </w:tabs>
        <w:spacing w:line="276" w:lineRule="auto"/>
        <w:jc w:val="both"/>
        <w:rPr>
          <w:i/>
        </w:rPr>
      </w:pPr>
      <w:r w:rsidRPr="00103BC3">
        <w:rPr>
          <w:i/>
        </w:rPr>
        <w:t xml:space="preserve">d) arsyet për ankimin e tij, </w:t>
      </w:r>
    </w:p>
    <w:p w:rsidR="00E43367" w:rsidRPr="00103BC3" w:rsidRDefault="00E43367" w:rsidP="0036709A">
      <w:pPr>
        <w:widowControl w:val="0"/>
        <w:tabs>
          <w:tab w:val="left" w:pos="0"/>
        </w:tabs>
        <w:spacing w:line="276" w:lineRule="auto"/>
        <w:jc w:val="both"/>
        <w:rPr>
          <w:i/>
        </w:rPr>
      </w:pPr>
      <w:r w:rsidRPr="00103BC3">
        <w:rPr>
          <w:i/>
        </w:rPr>
        <w:t xml:space="preserve">dh) informacion në mbështetje të ankimit (Aktin e kontrollit, proces-verbalet, etj.)  </w:t>
      </w:r>
    </w:p>
    <w:p w:rsidR="00E43367" w:rsidRPr="00103BC3" w:rsidRDefault="00E43367" w:rsidP="0036709A">
      <w:pPr>
        <w:widowControl w:val="0"/>
        <w:tabs>
          <w:tab w:val="left" w:pos="0"/>
        </w:tabs>
        <w:spacing w:line="276" w:lineRule="auto"/>
        <w:jc w:val="both"/>
        <w:rPr>
          <w:i/>
        </w:rPr>
      </w:pPr>
      <w:r w:rsidRPr="00103BC3">
        <w:rPr>
          <w:i/>
        </w:rPr>
        <w:t xml:space="preserve">e) çdo dokument tjetër që ankimuesi e gjykon të rëndësishëm,  </w:t>
      </w:r>
    </w:p>
    <w:p w:rsidR="00E43367" w:rsidRPr="00103BC3" w:rsidRDefault="00E43367" w:rsidP="0036709A">
      <w:pPr>
        <w:widowControl w:val="0"/>
        <w:tabs>
          <w:tab w:val="left" w:pos="0"/>
        </w:tabs>
        <w:spacing w:line="276" w:lineRule="auto"/>
        <w:jc w:val="both"/>
        <w:rPr>
          <w:i/>
        </w:rPr>
      </w:pPr>
      <w:r w:rsidRPr="00103BC3">
        <w:rPr>
          <w:i/>
        </w:rPr>
        <w:lastRenderedPageBreak/>
        <w:t xml:space="preserve">ë) nënshkrimin e tij. </w:t>
      </w:r>
    </w:p>
    <w:p w:rsidR="00E43367" w:rsidRDefault="00E43367" w:rsidP="0036709A">
      <w:pPr>
        <w:widowControl w:val="0"/>
        <w:tabs>
          <w:tab w:val="left" w:pos="0"/>
          <w:tab w:val="left" w:pos="1260"/>
        </w:tabs>
        <w:spacing w:line="276" w:lineRule="auto"/>
        <w:jc w:val="both"/>
        <w:rPr>
          <w:i/>
        </w:rPr>
      </w:pPr>
      <w:r w:rsidRPr="00103BC3">
        <w:rPr>
          <w:i/>
        </w:rPr>
        <w:t>f)dokumentacionin që vërteton datën e marrjes së njoftim vlerësimit të ankimuar (kopje të zarfit postar nëpërmjet të cilit është dërguar akti administrativ i ankimuar apo konfirmim nga shërbimi postar, ose konfirmim nga drejtoria rajonale tatimore, kur ky akt është marrë dorazi pranë saj)”.</w:t>
      </w:r>
    </w:p>
    <w:p w:rsidR="00E43367" w:rsidRDefault="00E43367" w:rsidP="0036709A">
      <w:pPr>
        <w:widowControl w:val="0"/>
        <w:tabs>
          <w:tab w:val="left" w:pos="0"/>
          <w:tab w:val="left" w:pos="1260"/>
        </w:tabs>
        <w:spacing w:line="276" w:lineRule="auto"/>
        <w:jc w:val="both"/>
        <w:rPr>
          <w:i/>
        </w:rPr>
      </w:pPr>
    </w:p>
    <w:p w:rsidR="0036709A" w:rsidRPr="00103BC3" w:rsidRDefault="0036709A" w:rsidP="0036709A">
      <w:pPr>
        <w:widowControl w:val="0"/>
        <w:tabs>
          <w:tab w:val="left" w:pos="0"/>
          <w:tab w:val="left" w:pos="1260"/>
        </w:tabs>
        <w:spacing w:line="276" w:lineRule="auto"/>
        <w:jc w:val="both"/>
        <w:rPr>
          <w:bCs/>
        </w:rPr>
      </w:pPr>
      <w:r w:rsidRPr="00E43367">
        <w:rPr>
          <w:bCs/>
        </w:rPr>
        <w:t>Nga shqyrtimi paraprak i kërkesës ankimore është konstatuar se ankimi nuk është në përputhje me formën e përcak</w:t>
      </w:r>
      <w:r>
        <w:rPr>
          <w:bCs/>
        </w:rPr>
        <w:t xml:space="preserve">tuar në legjislacionin tatimor, pasi </w:t>
      </w:r>
      <w:r w:rsidRPr="00E43367">
        <w:rPr>
          <w:bCs/>
        </w:rPr>
        <w:t>akti administrativ i ankimuar nuk është i vulosur dhe nënshkrua</w:t>
      </w:r>
      <w:r>
        <w:rPr>
          <w:bCs/>
        </w:rPr>
        <w:t>r (as elektronikisht) nga titullari i institucionit</w:t>
      </w:r>
      <w:r w:rsidRPr="00E43367">
        <w:rPr>
          <w:bCs/>
        </w:rPr>
        <w:t xml:space="preserve"> dhe si i tillë nuk përmbush kërkesat e përcaktuara në </w:t>
      </w:r>
      <w:r>
        <w:rPr>
          <w:bCs/>
        </w:rPr>
        <w:t xml:space="preserve">Kodin e Procedurave Administrative dhe </w:t>
      </w:r>
      <w:r w:rsidRPr="00E43367">
        <w:rPr>
          <w:bCs/>
        </w:rPr>
        <w:t>Udhëzimin nr. 24 të Ministrit të Financave, datë 02.09.2008 “Për Procedurat Tatimore në RSH”, pika 106.2.4.</w:t>
      </w:r>
    </w:p>
    <w:p w:rsidR="00E43367" w:rsidRDefault="0036709A" w:rsidP="0036709A">
      <w:pPr>
        <w:widowControl w:val="0"/>
        <w:tabs>
          <w:tab w:val="left" w:pos="0"/>
        </w:tabs>
        <w:spacing w:line="276" w:lineRule="auto"/>
        <w:jc w:val="both"/>
        <w:rPr>
          <w:bCs/>
        </w:rPr>
      </w:pPr>
      <w:r>
        <w:rPr>
          <w:bCs/>
        </w:rPr>
        <w:t>Konkretisht, n</w:t>
      </w:r>
      <w:r w:rsidR="00014B66" w:rsidRPr="004F13DC">
        <w:rPr>
          <w:bCs/>
        </w:rPr>
        <w:t xml:space="preserve">ë nenin </w:t>
      </w:r>
      <w:r w:rsidR="00E43367">
        <w:rPr>
          <w:bCs/>
        </w:rPr>
        <w:t xml:space="preserve">98 </w:t>
      </w:r>
      <w:r w:rsidR="00014B66" w:rsidRPr="004F13DC">
        <w:rPr>
          <w:bCs/>
        </w:rPr>
        <w:t xml:space="preserve">të Kodit të Procedurave Administrative përcaktohet forma e aktit, ndërsa në nenin </w:t>
      </w:r>
      <w:r w:rsidR="00E43367">
        <w:rPr>
          <w:bCs/>
        </w:rPr>
        <w:t>99 p</w:t>
      </w:r>
      <w:r>
        <w:rPr>
          <w:bCs/>
        </w:rPr>
        <w:t>ë</w:t>
      </w:r>
      <w:r w:rsidR="00E43367">
        <w:rPr>
          <w:bCs/>
        </w:rPr>
        <w:t>rcaktohen k</w:t>
      </w:r>
      <w:r>
        <w:rPr>
          <w:bCs/>
        </w:rPr>
        <w:t>ë</w:t>
      </w:r>
      <w:r w:rsidR="00E43367">
        <w:rPr>
          <w:bCs/>
        </w:rPr>
        <w:t>rkesat e form</w:t>
      </w:r>
      <w:r>
        <w:rPr>
          <w:bCs/>
        </w:rPr>
        <w:t>ë</w:t>
      </w:r>
      <w:r w:rsidR="00E43367">
        <w:rPr>
          <w:bCs/>
        </w:rPr>
        <w:t>s s</w:t>
      </w:r>
      <w:r>
        <w:rPr>
          <w:bCs/>
        </w:rPr>
        <w:t>ë</w:t>
      </w:r>
      <w:r w:rsidR="00E43367">
        <w:rPr>
          <w:bCs/>
        </w:rPr>
        <w:t xml:space="preserve"> aktit administrativ</w:t>
      </w:r>
      <w:r w:rsidR="00014B66" w:rsidRPr="004F13DC">
        <w:rPr>
          <w:bCs/>
        </w:rPr>
        <w:t xml:space="preserve">, si </w:t>
      </w:r>
      <w:r w:rsidR="00E43367">
        <w:rPr>
          <w:bCs/>
        </w:rPr>
        <w:t>emri i organit publik q</w:t>
      </w:r>
      <w:r>
        <w:rPr>
          <w:bCs/>
        </w:rPr>
        <w:t>ë</w:t>
      </w:r>
      <w:r w:rsidR="00E43367">
        <w:rPr>
          <w:bCs/>
        </w:rPr>
        <w:t xml:space="preserve"> nxjerr aktin </w:t>
      </w:r>
      <w:r w:rsidR="00014B66" w:rsidRPr="004F13DC">
        <w:rPr>
          <w:bCs/>
        </w:rPr>
        <w:t>(referuar pikës 2, gërma (</w:t>
      </w:r>
      <w:r w:rsidR="00E43367">
        <w:rPr>
          <w:bCs/>
        </w:rPr>
        <w:t>a</w:t>
      </w:r>
      <w:r w:rsidR="00014B66" w:rsidRPr="004F13DC">
        <w:rPr>
          <w:bCs/>
        </w:rPr>
        <w:t>) dhe nënshkrimi</w:t>
      </w:r>
      <w:r w:rsidR="00E43367">
        <w:rPr>
          <w:bCs/>
        </w:rPr>
        <w:t>, emri dhe mbiemri i shkruar i n</w:t>
      </w:r>
      <w:r>
        <w:rPr>
          <w:bCs/>
        </w:rPr>
        <w:t>ë</w:t>
      </w:r>
      <w:r w:rsidR="00E43367">
        <w:rPr>
          <w:bCs/>
        </w:rPr>
        <w:t>pun</w:t>
      </w:r>
      <w:r>
        <w:rPr>
          <w:bCs/>
        </w:rPr>
        <w:t>ë</w:t>
      </w:r>
      <w:r w:rsidR="00E43367">
        <w:rPr>
          <w:bCs/>
        </w:rPr>
        <w:t>sit p</w:t>
      </w:r>
      <w:r>
        <w:rPr>
          <w:bCs/>
        </w:rPr>
        <w:t>ë</w:t>
      </w:r>
      <w:r w:rsidR="00E43367">
        <w:rPr>
          <w:bCs/>
        </w:rPr>
        <w:t>rgjegj</w:t>
      </w:r>
      <w:r>
        <w:rPr>
          <w:bCs/>
        </w:rPr>
        <w:t>ë</w:t>
      </w:r>
      <w:r w:rsidR="00E43367">
        <w:rPr>
          <w:bCs/>
        </w:rPr>
        <w:t xml:space="preserve">s </w:t>
      </w:r>
      <w:r w:rsidR="00014B66" w:rsidRPr="004F13DC">
        <w:rPr>
          <w:bCs/>
        </w:rPr>
        <w:t xml:space="preserve">(referuar pikës </w:t>
      </w:r>
      <w:r w:rsidR="00E43367">
        <w:rPr>
          <w:bCs/>
        </w:rPr>
        <w:t>3</w:t>
      </w:r>
      <w:r w:rsidR="00014B66" w:rsidRPr="004F13DC">
        <w:rPr>
          <w:bCs/>
        </w:rPr>
        <w:t xml:space="preserve">). Në Udhëzimin nr. 24, datë 02.09.2008 “Për Procedurat Tatimore në RSH”, paragrafi 70.1 përcaktohet se </w:t>
      </w:r>
      <w:r w:rsidR="00014B66" w:rsidRPr="004F13DC">
        <w:rPr>
          <w:bCs/>
          <w:i/>
        </w:rPr>
        <w:t>“Njoftimi i vlerësimit tatimor, lëshohet nga drejtoria rajonale e tatimeve nen juridiksionin e te cilës është personi i tatueshëm dhe nënshkruhet nga drejtori i kësaj drejtorie”</w:t>
      </w:r>
      <w:r w:rsidR="00014B66" w:rsidRPr="004F13DC">
        <w:rPr>
          <w:bCs/>
        </w:rPr>
        <w:t xml:space="preserve">. </w:t>
      </w:r>
    </w:p>
    <w:p w:rsidR="00E43367" w:rsidRDefault="00E43367" w:rsidP="0036709A">
      <w:pPr>
        <w:widowControl w:val="0"/>
        <w:tabs>
          <w:tab w:val="left" w:pos="0"/>
        </w:tabs>
        <w:spacing w:line="276" w:lineRule="auto"/>
        <w:jc w:val="both"/>
        <w:rPr>
          <w:bCs/>
        </w:rPr>
      </w:pPr>
      <w:r>
        <w:rPr>
          <w:bCs/>
        </w:rPr>
        <w:t>Pika 4 e nenit 99 t</w:t>
      </w:r>
      <w:r w:rsidR="0036709A">
        <w:rPr>
          <w:bCs/>
        </w:rPr>
        <w:t>ë</w:t>
      </w:r>
      <w:r>
        <w:rPr>
          <w:bCs/>
        </w:rPr>
        <w:t xml:space="preserve"> Kodit t</w:t>
      </w:r>
      <w:r w:rsidR="0036709A">
        <w:rPr>
          <w:bCs/>
        </w:rPr>
        <w:t>ë</w:t>
      </w:r>
      <w:r>
        <w:rPr>
          <w:bCs/>
        </w:rPr>
        <w:t xml:space="preserve"> Procedurave Administrative p</w:t>
      </w:r>
      <w:r w:rsidR="0036709A">
        <w:rPr>
          <w:bCs/>
        </w:rPr>
        <w:t>ë</w:t>
      </w:r>
      <w:r>
        <w:rPr>
          <w:bCs/>
        </w:rPr>
        <w:t>rcakton se “</w:t>
      </w:r>
      <w:r w:rsidRPr="00E43367">
        <w:rPr>
          <w:bCs/>
          <w:i/>
        </w:rPr>
        <w:t>Akti administrativ elektronik nënshkruhet në mënyrë elektronike në përputhje me legjislacionin në fuqi. Në këto raste, kërkesat e pikës 3, të këtij neni, zëvendësohen me nënshkrimin elektronik të organit publik, në përputhje me legjislacionin në fuqi</w:t>
      </w:r>
      <w:r>
        <w:rPr>
          <w:bCs/>
        </w:rPr>
        <w:t>”.</w:t>
      </w:r>
    </w:p>
    <w:p w:rsidR="004C69B1" w:rsidRPr="00103BC3" w:rsidRDefault="00014B66" w:rsidP="0036709A">
      <w:pPr>
        <w:widowControl w:val="0"/>
        <w:tabs>
          <w:tab w:val="left" w:pos="0"/>
        </w:tabs>
        <w:spacing w:line="276" w:lineRule="auto"/>
        <w:jc w:val="both"/>
      </w:pPr>
      <w:r w:rsidRPr="004F13DC">
        <w:t>Udhëzimi nr. 24, datë 9.12.2014 “Për dhënien e pëlqimit dhe mënyrën e marrjes dhe vlefshmërinë e dhënies së pëlqimit për komunikimin elektronik të tatimpaguesit me administratën tatimore”, në paragrafin 8.4 përcakton se “</w:t>
      </w:r>
      <w:r w:rsidRPr="004F13DC">
        <w:rPr>
          <w:i/>
        </w:rPr>
        <w:t xml:space="preserve">Me përjashtim të rastit të kryerjes së veprimet të pagesës elektronike (“e-payment”), çdo instruksion, veprim i kryer, kërkesë për kryerjen e një veprimi, pyetje, njoftim dhe </w:t>
      </w:r>
      <w:r w:rsidRPr="00014B66">
        <w:rPr>
          <w:i/>
        </w:rPr>
        <w:t xml:space="preserve">çdo dokument të ardhur ose të dërguar nga shërbimi “e-tax” do të nënshkruhet elektronikisht nga ana e administratës Tatimore </w:t>
      </w:r>
      <w:r w:rsidRPr="004F13DC">
        <w:rPr>
          <w:i/>
        </w:rPr>
        <w:t>për shërbimin “e-tax</w:t>
      </w:r>
      <w:r w:rsidRPr="004F13DC">
        <w:t>”.</w:t>
      </w:r>
      <w:r w:rsidR="004C69B1" w:rsidRPr="00103BC3">
        <w:t xml:space="preserve"> </w:t>
      </w:r>
    </w:p>
    <w:p w:rsidR="00E43367" w:rsidRPr="00103BC3" w:rsidRDefault="00E43367" w:rsidP="0036709A">
      <w:pPr>
        <w:widowControl w:val="0"/>
        <w:tabs>
          <w:tab w:val="left" w:pos="0"/>
        </w:tabs>
        <w:spacing w:line="276" w:lineRule="auto"/>
        <w:jc w:val="both"/>
        <w:rPr>
          <w:rFonts w:eastAsia="Times New Roman"/>
        </w:rPr>
      </w:pPr>
    </w:p>
    <w:p w:rsidR="004C69B1" w:rsidRDefault="004C69B1" w:rsidP="0036709A">
      <w:pPr>
        <w:widowControl w:val="0"/>
        <w:tabs>
          <w:tab w:val="left" w:pos="0"/>
        </w:tabs>
        <w:spacing w:line="276" w:lineRule="auto"/>
        <w:jc w:val="both"/>
        <w:rPr>
          <w:bCs/>
        </w:rPr>
      </w:pPr>
      <w:r w:rsidRPr="00103BC3">
        <w:t xml:space="preserve">Duke qenë se kjo kerkesë nuk ishte e plotë dhe në përputhje me kërkesat e ligjit, pasi mungon </w:t>
      </w:r>
      <w:r w:rsidR="0036709A">
        <w:t>Njoftim Vlerësimi i vulosur dhe nënshkruar nga titullari i institucionit që e ka nxjerrë atë</w:t>
      </w:r>
      <w:r w:rsidRPr="00103BC3">
        <w:t xml:space="preserve">, në </w:t>
      </w:r>
      <w:r w:rsidR="0036709A">
        <w:t>zbatim</w:t>
      </w:r>
      <w:r w:rsidRPr="00103BC3">
        <w:t xml:space="preserve"> të Ligjit 9920/2008</w:t>
      </w:r>
      <w:r w:rsidR="0036709A">
        <w:t>,</w:t>
      </w:r>
      <w:r w:rsidRPr="00103BC3">
        <w:t xml:space="preserve"> neni 106</w:t>
      </w:r>
      <w:r w:rsidR="0036709A">
        <w:t xml:space="preserve">, pika 1 dhe neni 108, si </w:t>
      </w:r>
      <w:r w:rsidRPr="00103BC3">
        <w:t xml:space="preserve">dhe Udhëzimit nr. 24/2008, paragrafi 106.2.4 dhe 106.2.5, DAT ka kërkuar nga tatimpaguesi </w:t>
      </w:r>
      <w:r w:rsidR="0036709A">
        <w:t>plotësimin e ankimit</w:t>
      </w:r>
      <w:r w:rsidRPr="00103BC3">
        <w:t xml:space="preserve"> me aktin administrativ</w:t>
      </w:r>
      <w:r w:rsidR="004B1C98">
        <w:t>,</w:t>
      </w:r>
      <w:r w:rsidRPr="00103BC3">
        <w:t xml:space="preserve"> Njoftim Vlerësimin për detyrimet tatimore, </w:t>
      </w:r>
      <w:r w:rsidR="0036709A">
        <w:t>të</w:t>
      </w:r>
      <w:r w:rsidR="0036709A" w:rsidRPr="004F13DC">
        <w:rPr>
          <w:bCs/>
        </w:rPr>
        <w:t xml:space="preserve"> vulosur dhe të nënshkruar nga drejtori i drejtorisë rajonale tatimore</w:t>
      </w:r>
      <w:r w:rsidR="0036709A">
        <w:rPr>
          <w:bCs/>
        </w:rPr>
        <w:t>.</w:t>
      </w:r>
    </w:p>
    <w:p w:rsidR="004B1C98" w:rsidRDefault="004B1C98" w:rsidP="0036709A">
      <w:pPr>
        <w:widowControl w:val="0"/>
        <w:tabs>
          <w:tab w:val="left" w:pos="0"/>
        </w:tabs>
        <w:spacing w:line="276" w:lineRule="auto"/>
        <w:jc w:val="both"/>
      </w:pPr>
    </w:p>
    <w:p w:rsidR="004C69B1" w:rsidRDefault="0036709A" w:rsidP="0036709A">
      <w:pPr>
        <w:widowControl w:val="0"/>
        <w:tabs>
          <w:tab w:val="left" w:pos="0"/>
        </w:tabs>
        <w:spacing w:line="276" w:lineRule="auto"/>
        <w:jc w:val="both"/>
      </w:pPr>
      <w:r w:rsidRPr="0036709A">
        <w:t>Në përfundim të afateve të sipërcituara dhe deri në nxjerren e vendimit, tatimpaguesi nuk ka plotësuar ankimin me dokumentacionin e kërkuar sa më sipër, njoftim vlerësimin e nënshkruar dhe vulosur nga drejtori i DRT. Në Udhëzimin nr. 24, datë 02.09.2008, paragrafi 106.2.6, përcaktohet se “</w:t>
      </w:r>
      <w:r w:rsidRPr="009E12F3">
        <w:rPr>
          <w:i/>
        </w:rPr>
        <w:t>Nëse tatimpaguesi nuk përmbush kërkesat dhe procedurat sipas pikës 106.2.5 më lart, Drejtoria e Apelimit Tatimor ka të drejtë të refuzojë ankimin</w:t>
      </w:r>
      <w:r w:rsidRPr="0036709A">
        <w:t>”.</w:t>
      </w:r>
    </w:p>
    <w:p w:rsidR="004C69B1" w:rsidRDefault="004C69B1" w:rsidP="0036709A">
      <w:pPr>
        <w:widowControl w:val="0"/>
        <w:tabs>
          <w:tab w:val="left" w:pos="0"/>
        </w:tabs>
        <w:spacing w:line="276" w:lineRule="auto"/>
        <w:jc w:val="both"/>
      </w:pPr>
    </w:p>
    <w:p w:rsidR="0036709A" w:rsidRDefault="0036709A" w:rsidP="0036709A">
      <w:pPr>
        <w:widowControl w:val="0"/>
        <w:tabs>
          <w:tab w:val="left" w:pos="0"/>
        </w:tabs>
        <w:spacing w:line="276" w:lineRule="auto"/>
        <w:jc w:val="both"/>
      </w:pPr>
      <w:r>
        <w:t xml:space="preserve">Referuar nenit 106 të Ligjit 9920, procedura e ankimit përcakton se ankimi bëhet ndaj aktit administrativ që prodhon detyrimet tatimore dhe jo drejtpërdrejt ndaj detyrimeve tatimore. Kjo </w:t>
      </w:r>
      <w:r>
        <w:lastRenderedPageBreak/>
        <w:t xml:space="preserve">është arsyeja që përherë ankimi duhet të shoqërohet me aktin administrativ që ka krijuar detyrimet tatimore, </w:t>
      </w:r>
      <w:r w:rsidRPr="0036709A">
        <w:t>i cili të plotësojë elementët ligjorë të një akti administrativ, të jetë i nënshkruar nga titullari dhe me vulën e institucionit</w:t>
      </w:r>
      <w:r>
        <w:t xml:space="preserve">. Ndërsa njoftim vlerësimi i printuar nga sistemi informatik tatimor nuk përmban elementët e duhur për t’i dhënë vlefshmërinë dhe formën ligjore këtij akti dhe si i tillë nuk mund të merret në shqyrtim nga Drejtoria e Apelimit Tatimor. </w:t>
      </w:r>
    </w:p>
    <w:p w:rsidR="0036709A" w:rsidRDefault="0036709A" w:rsidP="0036709A">
      <w:pPr>
        <w:widowControl w:val="0"/>
        <w:tabs>
          <w:tab w:val="left" w:pos="0"/>
        </w:tabs>
        <w:spacing w:line="276" w:lineRule="auto"/>
        <w:jc w:val="both"/>
      </w:pPr>
    </w:p>
    <w:p w:rsidR="0036709A" w:rsidRDefault="0036709A" w:rsidP="0036709A">
      <w:pPr>
        <w:widowControl w:val="0"/>
        <w:tabs>
          <w:tab w:val="left" w:pos="0"/>
        </w:tabs>
        <w:spacing w:line="276" w:lineRule="auto"/>
        <w:jc w:val="both"/>
      </w:pPr>
      <w:r>
        <w:t xml:space="preserve">Sa më sipër, duke qënë se kërkesa ankimore nuk plotëson kushtet e përcaktuara në paragrafin 106.2.4 të Udhëzimit nr. 24, datë 02.09.2008, Drejtoria e Apelimit Tatimor refuzon ankimin, por sjell në vëmendje të tatimpaguesit se me marrjen e njoftim vlerësimit të plotësuar me të gjithë elementët e kërkuar, këtij të fundit i lind e drejta e ankimit pranë saj, </w:t>
      </w:r>
      <w:r w:rsidRPr="00103BC3">
        <w:t>duke plotësuar njëkohësisht dhe kushtet e përcaktuara në Ligjin Nr.9920/2008 nenit 106 e në vijim</w:t>
      </w:r>
      <w:r>
        <w:t xml:space="preserve">. </w:t>
      </w:r>
    </w:p>
    <w:p w:rsidR="0036709A" w:rsidRDefault="0036709A" w:rsidP="0036709A">
      <w:pPr>
        <w:widowControl w:val="0"/>
        <w:tabs>
          <w:tab w:val="left" w:pos="0"/>
        </w:tabs>
        <w:spacing w:line="276" w:lineRule="auto"/>
        <w:jc w:val="both"/>
      </w:pPr>
    </w:p>
    <w:p w:rsidR="004C69B1" w:rsidRPr="00103BC3" w:rsidRDefault="0036709A" w:rsidP="0036709A">
      <w:pPr>
        <w:pStyle w:val="Header"/>
        <w:widowControl w:val="0"/>
        <w:tabs>
          <w:tab w:val="left" w:pos="0"/>
          <w:tab w:val="left" w:pos="720"/>
        </w:tabs>
        <w:spacing w:line="276" w:lineRule="auto"/>
        <w:jc w:val="both"/>
        <w:rPr>
          <w:bCs/>
        </w:rPr>
      </w:pPr>
      <w:r>
        <w:rPr>
          <w:bCs/>
        </w:rPr>
        <w:t>Drejtoria e Apelimit Tatimor,</w:t>
      </w:r>
      <w:r w:rsidRPr="00103BC3">
        <w:rPr>
          <w:bCs/>
        </w:rPr>
        <w:t xml:space="preserve"> </w:t>
      </w:r>
      <w:r>
        <w:rPr>
          <w:bCs/>
        </w:rPr>
        <w:t>b</w:t>
      </w:r>
      <w:r w:rsidR="004C69B1" w:rsidRPr="00103BC3">
        <w:rPr>
          <w:bCs/>
        </w:rPr>
        <w:t>azuar në nene</w:t>
      </w:r>
      <w:r>
        <w:rPr>
          <w:bCs/>
        </w:rPr>
        <w:t>t 106, 107, dhe 108, të Ligjit n</w:t>
      </w:r>
      <w:r w:rsidR="004C69B1" w:rsidRPr="00103BC3">
        <w:rPr>
          <w:bCs/>
        </w:rPr>
        <w:t>r.</w:t>
      </w:r>
      <w:r>
        <w:rPr>
          <w:bCs/>
        </w:rPr>
        <w:t xml:space="preserve"> </w:t>
      </w:r>
      <w:r w:rsidR="004C69B1" w:rsidRPr="00103BC3">
        <w:rPr>
          <w:bCs/>
        </w:rPr>
        <w:t xml:space="preserve">9920/20008 </w:t>
      </w:r>
      <w:r w:rsidRPr="0036709A">
        <w:rPr>
          <w:bCs/>
        </w:rPr>
        <w:t>dhe pikës 108.3.3 gërma (a), të Udhëzimit të Ministri</w:t>
      </w:r>
      <w:r>
        <w:rPr>
          <w:bCs/>
        </w:rPr>
        <w:t>t</w:t>
      </w:r>
      <w:r w:rsidRPr="0036709A">
        <w:rPr>
          <w:bCs/>
        </w:rPr>
        <w:t xml:space="preserve"> </w:t>
      </w:r>
      <w:r>
        <w:rPr>
          <w:bCs/>
        </w:rPr>
        <w:t>t</w:t>
      </w:r>
      <w:r w:rsidRPr="0036709A">
        <w:rPr>
          <w:bCs/>
        </w:rPr>
        <w:t>ë Financave nr.</w:t>
      </w:r>
      <w:r>
        <w:rPr>
          <w:bCs/>
        </w:rPr>
        <w:t xml:space="preserve"> </w:t>
      </w:r>
      <w:r w:rsidRPr="0036709A">
        <w:rPr>
          <w:bCs/>
        </w:rPr>
        <w:t>24 datë 02.09.2008, i nxjerrë në zbatim të këtij ligji</w:t>
      </w:r>
      <w:r>
        <w:rPr>
          <w:bCs/>
        </w:rPr>
        <w:t xml:space="preserve">, </w:t>
      </w:r>
    </w:p>
    <w:p w:rsidR="004C69B1" w:rsidRPr="00103BC3" w:rsidRDefault="004C69B1" w:rsidP="0036709A">
      <w:pPr>
        <w:pStyle w:val="Header"/>
        <w:widowControl w:val="0"/>
        <w:tabs>
          <w:tab w:val="left" w:pos="0"/>
          <w:tab w:val="left" w:pos="720"/>
        </w:tabs>
        <w:spacing w:line="276" w:lineRule="auto"/>
        <w:jc w:val="both"/>
      </w:pPr>
    </w:p>
    <w:p w:rsidR="004C69B1" w:rsidRPr="00103BC3" w:rsidRDefault="004C69B1" w:rsidP="0036709A">
      <w:pPr>
        <w:widowControl w:val="0"/>
        <w:tabs>
          <w:tab w:val="left" w:pos="0"/>
        </w:tabs>
        <w:spacing w:line="276" w:lineRule="auto"/>
        <w:contextualSpacing/>
        <w:jc w:val="center"/>
        <w:rPr>
          <w:b/>
          <w:u w:val="single"/>
        </w:rPr>
      </w:pPr>
      <w:r w:rsidRPr="00103BC3">
        <w:rPr>
          <w:b/>
          <w:u w:val="single"/>
        </w:rPr>
        <w:t>V E N D O S I :</w:t>
      </w:r>
    </w:p>
    <w:p w:rsidR="004C69B1" w:rsidRPr="00103BC3" w:rsidRDefault="004C69B1" w:rsidP="0036709A">
      <w:pPr>
        <w:widowControl w:val="0"/>
        <w:tabs>
          <w:tab w:val="left" w:pos="0"/>
          <w:tab w:val="left" w:pos="1260"/>
        </w:tabs>
        <w:spacing w:line="276" w:lineRule="auto"/>
        <w:contextualSpacing/>
        <w:jc w:val="both"/>
        <w:rPr>
          <w:rFonts w:eastAsia="SimSun"/>
          <w:lang w:eastAsia="zh-CN"/>
        </w:rPr>
      </w:pPr>
    </w:p>
    <w:p w:rsidR="004C69B1" w:rsidRPr="00103BC3" w:rsidRDefault="004C69B1" w:rsidP="0036709A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pacing w:line="276" w:lineRule="auto"/>
        <w:contextualSpacing/>
        <w:jc w:val="both"/>
        <w:rPr>
          <w:rFonts w:eastAsia="SimSun"/>
          <w:lang w:eastAsia="zh-CN"/>
        </w:rPr>
      </w:pPr>
      <w:r w:rsidRPr="004B1C98">
        <w:rPr>
          <w:b/>
          <w:bCs/>
        </w:rPr>
        <w:t>Refuzimin e ankimit</w:t>
      </w:r>
      <w:r w:rsidR="0036709A">
        <w:rPr>
          <w:bCs/>
        </w:rPr>
        <w:t xml:space="preserve"> </w:t>
      </w:r>
      <w:r w:rsidR="004B1C98" w:rsidRPr="00103BC3">
        <w:t xml:space="preserve">ndaj </w:t>
      </w:r>
      <w:r w:rsidR="004B1C98">
        <w:t xml:space="preserve">detyrimeve tatimore në vlerën 415.292 lekë, </w:t>
      </w:r>
      <w:r w:rsidRPr="00103BC3">
        <w:rPr>
          <w:bCs/>
        </w:rPr>
        <w:t>pasi nuk</w:t>
      </w:r>
      <w:r w:rsidRPr="00103BC3">
        <w:rPr>
          <w:rFonts w:eastAsia="SimSun"/>
          <w:lang w:eastAsia="zh-CN"/>
        </w:rPr>
        <w:t xml:space="preserve"> janë përmbushur kërkesat dhe proçedurat sipas pikës 106.2.4 të Udhëzimit 24/2008, mungon </w:t>
      </w:r>
      <w:r w:rsidRPr="00103BC3">
        <w:rPr>
          <w:bCs/>
        </w:rPr>
        <w:t>akti administrativ</w:t>
      </w:r>
      <w:r w:rsidRPr="00103BC3">
        <w:rPr>
          <w:rFonts w:eastAsia="SimSun"/>
          <w:lang w:eastAsia="zh-CN"/>
        </w:rPr>
        <w:t xml:space="preserve">, Njoftim Vlerësimi </w:t>
      </w:r>
      <w:r w:rsidR="004B1C98">
        <w:rPr>
          <w:bCs/>
        </w:rPr>
        <w:t>i vulosur dhe nënshkruar nga titullari i institucionit</w:t>
      </w:r>
    </w:p>
    <w:p w:rsidR="004C69B1" w:rsidRPr="00103BC3" w:rsidRDefault="004C69B1" w:rsidP="0036709A">
      <w:pPr>
        <w:widowControl w:val="0"/>
        <w:tabs>
          <w:tab w:val="left" w:pos="0"/>
          <w:tab w:val="left" w:pos="1260"/>
        </w:tabs>
        <w:spacing w:line="276" w:lineRule="auto"/>
        <w:jc w:val="both"/>
        <w:rPr>
          <w:rFonts w:eastAsia="SimSun"/>
          <w:lang w:eastAsia="zh-CN"/>
        </w:rPr>
      </w:pPr>
    </w:p>
    <w:p w:rsidR="004C69B1" w:rsidRDefault="004C69B1" w:rsidP="0036709A">
      <w:pPr>
        <w:widowControl w:val="0"/>
        <w:tabs>
          <w:tab w:val="left" w:pos="0"/>
          <w:tab w:val="left" w:pos="1260"/>
        </w:tabs>
        <w:spacing w:line="276" w:lineRule="auto"/>
        <w:jc w:val="both"/>
        <w:rPr>
          <w:rFonts w:eastAsia="SimSun"/>
          <w:lang w:eastAsia="zh-CN"/>
        </w:rPr>
      </w:pPr>
      <w:r w:rsidRPr="00103BC3">
        <w:rPr>
          <w:rFonts w:eastAsia="SimSun"/>
          <w:lang w:eastAsia="zh-CN"/>
        </w:rPr>
        <w:t xml:space="preserve">Në zbatim të pikës 2 të nenit 109 të Ligjit nr. 9920/2008 tatimpaguesi mund ta kundërshtojë vendimin e Drejtorisë së Apelimit Tatimor në gjykatë, brenda 30 ditëve kalendarike nga data e marrjes dijeni për këtë vendim. </w:t>
      </w:r>
    </w:p>
    <w:p w:rsidR="009E12F3" w:rsidRPr="00103BC3" w:rsidRDefault="009E12F3" w:rsidP="0036709A">
      <w:pPr>
        <w:widowControl w:val="0"/>
        <w:tabs>
          <w:tab w:val="left" w:pos="0"/>
          <w:tab w:val="left" w:pos="1260"/>
        </w:tabs>
        <w:spacing w:line="276" w:lineRule="auto"/>
        <w:jc w:val="both"/>
        <w:rPr>
          <w:rFonts w:eastAsia="SimSun"/>
          <w:lang w:eastAsia="zh-CN"/>
        </w:rPr>
      </w:pPr>
    </w:p>
    <w:p w:rsidR="00422664" w:rsidRPr="00F55D44" w:rsidRDefault="004C69B1" w:rsidP="00F55D44">
      <w:pPr>
        <w:widowControl w:val="0"/>
        <w:tabs>
          <w:tab w:val="left" w:pos="0"/>
        </w:tabs>
        <w:spacing w:line="276" w:lineRule="auto"/>
        <w:ind w:firstLine="720"/>
        <w:jc w:val="center"/>
        <w:rPr>
          <w:b/>
          <w:bCs/>
        </w:rPr>
      </w:pPr>
      <w:r w:rsidRPr="00103BC3">
        <w:rPr>
          <w:b/>
          <w:bCs/>
        </w:rPr>
        <w:t xml:space="preserve">                                 </w:t>
      </w:r>
      <w:r w:rsidR="004B1C98">
        <w:rPr>
          <w:b/>
          <w:bCs/>
        </w:rPr>
        <w:t xml:space="preserve">      </w:t>
      </w:r>
      <w:r w:rsidRPr="00103BC3">
        <w:rPr>
          <w:b/>
          <w:bCs/>
        </w:rPr>
        <w:t xml:space="preserve"> DREJTOR I APELIMIT TATIMOR</w:t>
      </w:r>
      <w:bookmarkStart w:id="0" w:name="_GoBack"/>
      <w:bookmarkEnd w:id="0"/>
    </w:p>
    <w:sectPr w:rsidR="00422664" w:rsidRPr="00F55D44" w:rsidSect="008C5E2F">
      <w:footerReference w:type="default" r:id="rId8"/>
      <w:pgSz w:w="12240" w:h="15840" w:code="1"/>
      <w:pgMar w:top="851" w:right="1440" w:bottom="993" w:left="1440" w:header="677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A1F" w:rsidRDefault="00D47A1F">
      <w:r>
        <w:separator/>
      </w:r>
    </w:p>
  </w:endnote>
  <w:endnote w:type="continuationSeparator" w:id="0">
    <w:p w:rsidR="00D47A1F" w:rsidRDefault="00D4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C6" w:rsidRPr="00804550" w:rsidRDefault="00103BC3" w:rsidP="0037727B">
    <w:pPr>
      <w:pStyle w:val="Footer"/>
      <w:pBdr>
        <w:top w:val="single" w:sz="4" w:space="8" w:color="4F81BD"/>
      </w:pBdr>
      <w:spacing w:before="360"/>
      <w:contextualSpacing/>
      <w:rPr>
        <w:color w:val="404040"/>
        <w:sz w:val="20"/>
        <w:szCs w:val="20"/>
      </w:rPr>
    </w:pPr>
    <w:r w:rsidRPr="00804550">
      <w:rPr>
        <w:color w:val="404040"/>
        <w:sz w:val="20"/>
        <w:szCs w:val="20"/>
      </w:rPr>
      <w:t xml:space="preserve">Bulevardi “Dëshmorët e Kombit”, </w:t>
    </w:r>
    <w:r>
      <w:rPr>
        <w:color w:val="404040"/>
        <w:sz w:val="20"/>
        <w:szCs w:val="20"/>
      </w:rPr>
      <w:t>Nr.</w:t>
    </w:r>
    <w:r w:rsidRPr="00804550">
      <w:rPr>
        <w:color w:val="404040"/>
        <w:sz w:val="20"/>
        <w:szCs w:val="20"/>
      </w:rPr>
      <w:t xml:space="preserve"> 3, </w:t>
    </w:r>
    <w:hyperlink r:id="rId1" w:history="1">
      <w:r w:rsidRPr="00495C87">
        <w:rPr>
          <w:rStyle w:val="Hyperlink"/>
          <w:sz w:val="20"/>
          <w:szCs w:val="20"/>
        </w:rPr>
        <w:t>www.financa.gov.al</w:t>
      </w:r>
    </w:hyperlink>
    <w:r w:rsidRPr="00804550">
      <w:rPr>
        <w:color w:val="404040"/>
        <w:sz w:val="20"/>
        <w:szCs w:val="20"/>
      </w:rPr>
      <w:t xml:space="preserve"> </w:t>
    </w:r>
    <w:r w:rsidR="008C5E2F">
      <w:t xml:space="preserve">                                                                       </w:t>
    </w:r>
    <w:r w:rsidRPr="00804550">
      <w:rPr>
        <w:color w:val="404040"/>
        <w:sz w:val="20"/>
        <w:szCs w:val="20"/>
      </w:rPr>
      <w:fldChar w:fldCharType="begin"/>
    </w:r>
    <w:r w:rsidRPr="00804550">
      <w:rPr>
        <w:color w:val="404040"/>
        <w:sz w:val="20"/>
        <w:szCs w:val="20"/>
      </w:rPr>
      <w:instrText xml:space="preserve"> PAGE   \* MERGEFORMAT </w:instrText>
    </w:r>
    <w:r w:rsidRPr="00804550">
      <w:rPr>
        <w:color w:val="404040"/>
        <w:sz w:val="20"/>
        <w:szCs w:val="20"/>
      </w:rPr>
      <w:fldChar w:fldCharType="separate"/>
    </w:r>
    <w:r w:rsidR="00F55D44">
      <w:rPr>
        <w:color w:val="404040"/>
        <w:sz w:val="20"/>
        <w:szCs w:val="20"/>
      </w:rPr>
      <w:t>3</w:t>
    </w:r>
    <w:r w:rsidRPr="00804550">
      <w:rPr>
        <w:color w:val="40404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A1F" w:rsidRDefault="00D47A1F">
      <w:r>
        <w:separator/>
      </w:r>
    </w:p>
  </w:footnote>
  <w:footnote w:type="continuationSeparator" w:id="0">
    <w:p w:rsidR="00D47A1F" w:rsidRDefault="00D47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20011"/>
    <w:multiLevelType w:val="hybridMultilevel"/>
    <w:tmpl w:val="6C567B12"/>
    <w:lvl w:ilvl="0" w:tplc="7F36DCF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73BEA"/>
    <w:multiLevelType w:val="hybridMultilevel"/>
    <w:tmpl w:val="A68271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B1"/>
    <w:rsid w:val="0000659B"/>
    <w:rsid w:val="00014B66"/>
    <w:rsid w:val="000564A9"/>
    <w:rsid w:val="000D001E"/>
    <w:rsid w:val="000D6DB6"/>
    <w:rsid w:val="001034EB"/>
    <w:rsid w:val="00103BC3"/>
    <w:rsid w:val="00113A21"/>
    <w:rsid w:val="00117F20"/>
    <w:rsid w:val="001544AD"/>
    <w:rsid w:val="00164F6C"/>
    <w:rsid w:val="001678AA"/>
    <w:rsid w:val="001C32EF"/>
    <w:rsid w:val="001C388B"/>
    <w:rsid w:val="001C459E"/>
    <w:rsid w:val="001D5CF4"/>
    <w:rsid w:val="001E4A0C"/>
    <w:rsid w:val="001F1978"/>
    <w:rsid w:val="00225F76"/>
    <w:rsid w:val="00250DC4"/>
    <w:rsid w:val="002A7460"/>
    <w:rsid w:val="002D38FF"/>
    <w:rsid w:val="00314F42"/>
    <w:rsid w:val="0036709A"/>
    <w:rsid w:val="003C34F3"/>
    <w:rsid w:val="00416D33"/>
    <w:rsid w:val="00440136"/>
    <w:rsid w:val="00454477"/>
    <w:rsid w:val="00462563"/>
    <w:rsid w:val="00466EB0"/>
    <w:rsid w:val="004674FD"/>
    <w:rsid w:val="004930A3"/>
    <w:rsid w:val="004A7B17"/>
    <w:rsid w:val="004B1C98"/>
    <w:rsid w:val="004B52C6"/>
    <w:rsid w:val="004C69B1"/>
    <w:rsid w:val="005061E8"/>
    <w:rsid w:val="00512693"/>
    <w:rsid w:val="00555ADB"/>
    <w:rsid w:val="005637A7"/>
    <w:rsid w:val="005905C2"/>
    <w:rsid w:val="005B1A8E"/>
    <w:rsid w:val="005B74F8"/>
    <w:rsid w:val="005C3AFC"/>
    <w:rsid w:val="005C6A64"/>
    <w:rsid w:val="005C7794"/>
    <w:rsid w:val="005D2DD6"/>
    <w:rsid w:val="005E114D"/>
    <w:rsid w:val="006536BD"/>
    <w:rsid w:val="00667D4A"/>
    <w:rsid w:val="00671051"/>
    <w:rsid w:val="006821C2"/>
    <w:rsid w:val="006D6DA9"/>
    <w:rsid w:val="006E1EED"/>
    <w:rsid w:val="007178DF"/>
    <w:rsid w:val="00723E0F"/>
    <w:rsid w:val="0073511A"/>
    <w:rsid w:val="00753694"/>
    <w:rsid w:val="00766D2D"/>
    <w:rsid w:val="007E2A2E"/>
    <w:rsid w:val="007E56C0"/>
    <w:rsid w:val="0082474A"/>
    <w:rsid w:val="00846B25"/>
    <w:rsid w:val="0086642F"/>
    <w:rsid w:val="0088163B"/>
    <w:rsid w:val="008A43CF"/>
    <w:rsid w:val="008C5E2F"/>
    <w:rsid w:val="008F6E04"/>
    <w:rsid w:val="0095595F"/>
    <w:rsid w:val="00961945"/>
    <w:rsid w:val="009B0E2E"/>
    <w:rsid w:val="009E12F3"/>
    <w:rsid w:val="009F4427"/>
    <w:rsid w:val="00A039CF"/>
    <w:rsid w:val="00A04237"/>
    <w:rsid w:val="00A146C5"/>
    <w:rsid w:val="00A277D9"/>
    <w:rsid w:val="00A45774"/>
    <w:rsid w:val="00AA5ACC"/>
    <w:rsid w:val="00AB062F"/>
    <w:rsid w:val="00AC3B6C"/>
    <w:rsid w:val="00AD37CA"/>
    <w:rsid w:val="00AD698F"/>
    <w:rsid w:val="00B27982"/>
    <w:rsid w:val="00B34393"/>
    <w:rsid w:val="00B3629C"/>
    <w:rsid w:val="00B52D96"/>
    <w:rsid w:val="00CB22BD"/>
    <w:rsid w:val="00CE4AF5"/>
    <w:rsid w:val="00CF2ECA"/>
    <w:rsid w:val="00D13708"/>
    <w:rsid w:val="00D45188"/>
    <w:rsid w:val="00D47A1F"/>
    <w:rsid w:val="00DA3507"/>
    <w:rsid w:val="00DB12A2"/>
    <w:rsid w:val="00DC2140"/>
    <w:rsid w:val="00DE14C9"/>
    <w:rsid w:val="00E202CC"/>
    <w:rsid w:val="00E43367"/>
    <w:rsid w:val="00E70CC0"/>
    <w:rsid w:val="00E95140"/>
    <w:rsid w:val="00EB3B27"/>
    <w:rsid w:val="00EE3006"/>
    <w:rsid w:val="00F53458"/>
    <w:rsid w:val="00F55D44"/>
    <w:rsid w:val="00FB6D62"/>
    <w:rsid w:val="00FB6F13"/>
    <w:rsid w:val="00FC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632091-D4A9-4339-9B96-82B70DD2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9B1"/>
    <w:pPr>
      <w:spacing w:after="0" w:line="240" w:lineRule="auto"/>
    </w:pPr>
    <w:rPr>
      <w:rFonts w:ascii="Times New Roman" w:eastAsia="MS Mincho" w:hAnsi="Times New Roman" w:cs="Times New Roman"/>
      <w:noProof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Intestazione.int,Header1"/>
    <w:basedOn w:val="Normal"/>
    <w:link w:val="HeaderChar"/>
    <w:rsid w:val="004C69B1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aliases w:val=" Char Char,Char Char,Intestazione.int Char,Header1 Char"/>
    <w:basedOn w:val="DefaultParagraphFont"/>
    <w:link w:val="Header"/>
    <w:rsid w:val="004C69B1"/>
    <w:rPr>
      <w:rFonts w:ascii="Times New Roman" w:eastAsia="MS Mincho" w:hAnsi="Times New Roman" w:cs="Times New Roman"/>
      <w:sz w:val="24"/>
      <w:szCs w:val="24"/>
      <w:lang w:eastAsia="x-none"/>
    </w:rPr>
  </w:style>
  <w:style w:type="paragraph" w:styleId="Footer">
    <w:name w:val="footer"/>
    <w:basedOn w:val="Normal"/>
    <w:link w:val="FooterChar"/>
    <w:uiPriority w:val="99"/>
    <w:rsid w:val="004C69B1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C69B1"/>
    <w:rPr>
      <w:rFonts w:ascii="Times New Roman" w:eastAsia="MS Mincho" w:hAnsi="Times New Roman" w:cs="Times New Roman"/>
      <w:sz w:val="24"/>
      <w:szCs w:val="24"/>
      <w:lang w:eastAsia="x-none"/>
    </w:rPr>
  </w:style>
  <w:style w:type="paragraph" w:styleId="ListParagraph">
    <w:name w:val="List Paragraph"/>
    <w:basedOn w:val="Normal"/>
    <w:uiPriority w:val="34"/>
    <w:qFormat/>
    <w:rsid w:val="004C69B1"/>
    <w:pPr>
      <w:ind w:left="720"/>
    </w:pPr>
  </w:style>
  <w:style w:type="character" w:styleId="Hyperlink">
    <w:name w:val="Hyperlink"/>
    <w:unhideWhenUsed/>
    <w:rsid w:val="004C69B1"/>
    <w:rPr>
      <w:color w:val="0000FF"/>
      <w:u w:val="single"/>
    </w:rPr>
  </w:style>
  <w:style w:type="character" w:customStyle="1" w:styleId="twocolumnlayoutmenuheader2">
    <w:name w:val="twocolumnlayoutmenuheader2"/>
    <w:basedOn w:val="DefaultParagraphFont"/>
    <w:rsid w:val="004C69B1"/>
  </w:style>
  <w:style w:type="paragraph" w:styleId="BalloonText">
    <w:name w:val="Balloon Text"/>
    <w:basedOn w:val="Normal"/>
    <w:link w:val="BalloonTextChar"/>
    <w:uiPriority w:val="99"/>
    <w:semiHidden/>
    <w:unhideWhenUsed/>
    <w:rsid w:val="009E12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2F3"/>
    <w:rPr>
      <w:rFonts w:ascii="Segoe UI" w:eastAsia="MS Mincho" w:hAnsi="Segoe UI" w:cs="Segoe UI"/>
      <w:noProof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anc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Xhensilda Ceka</dc:creator>
  <cp:keywords/>
  <dc:description/>
  <cp:lastModifiedBy>julvit shazivari</cp:lastModifiedBy>
  <cp:revision>3</cp:revision>
  <cp:lastPrinted>2021-03-04T09:10:00Z</cp:lastPrinted>
  <dcterms:created xsi:type="dcterms:W3CDTF">2022-09-16T11:56:00Z</dcterms:created>
  <dcterms:modified xsi:type="dcterms:W3CDTF">2022-09-16T11:58:00Z</dcterms:modified>
</cp:coreProperties>
</file>