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0C" w:rsidRPr="00A9446C" w:rsidRDefault="00972D0C" w:rsidP="00972D0C">
      <w:pPr>
        <w:widowControl w:val="0"/>
        <w:spacing w:after="0"/>
        <w:jc w:val="center"/>
        <w:rPr>
          <w:rFonts w:ascii="Times New Roman" w:hAnsi="Times New Roman" w:cs="Times New Roman"/>
          <w:b/>
          <w:sz w:val="24"/>
          <w:szCs w:val="24"/>
          <w:lang w:val="sq-AL"/>
        </w:rPr>
      </w:pPr>
      <w:r w:rsidRPr="00A9446C">
        <w:rPr>
          <w:rFonts w:ascii="Times New Roman" w:hAnsi="Times New Roman" w:cs="Times New Roman"/>
          <w:noProof/>
          <w:sz w:val="24"/>
          <w:szCs w:val="24"/>
          <w:lang w:val="sq-AL" w:eastAsia="sq-AL"/>
        </w:rPr>
        <w:drawing>
          <wp:anchor distT="0" distB="0" distL="114300" distR="114300" simplePos="0" relativeHeight="251659264" behindDoc="0" locked="0" layoutInCell="1" allowOverlap="1" wp14:anchorId="50BEC4A2" wp14:editId="418A48C7">
            <wp:simplePos x="0" y="0"/>
            <wp:positionH relativeFrom="margin">
              <wp:posOffset>-370840</wp:posOffset>
            </wp:positionH>
            <wp:positionV relativeFrom="paragraph">
              <wp:posOffset>-250190</wp:posOffset>
            </wp:positionV>
            <wp:extent cx="6587490" cy="863600"/>
            <wp:effectExtent l="0" t="0" r="3810" b="0"/>
            <wp:wrapTopAndBottom/>
            <wp:docPr id="2" name="Picture 2" descr="5-ministria-financave-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ministria-financave-Grey-01"/>
                    <pic:cNvPicPr>
                      <a:picLocks noChangeAspect="1" noChangeArrowheads="1"/>
                    </pic:cNvPicPr>
                  </pic:nvPicPr>
                  <pic:blipFill rotWithShape="1">
                    <a:blip r:embed="rId9"/>
                    <a:srcRect l="4" t="15433" r="4" b="14101"/>
                    <a:stretch/>
                  </pic:blipFill>
                  <pic:spPr bwMode="auto">
                    <a:xfrm>
                      <a:off x="0" y="0"/>
                      <a:ext cx="6587490" cy="86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446C">
        <w:rPr>
          <w:rFonts w:ascii="Times New Roman" w:hAnsi="Times New Roman" w:cs="Times New Roman"/>
          <w:b/>
          <w:sz w:val="24"/>
          <w:szCs w:val="24"/>
          <w:lang w:val="sq-AL"/>
        </w:rPr>
        <w:t>MINISTRIA E FINANCAVE</w:t>
      </w:r>
    </w:p>
    <w:p w:rsidR="00972D0C" w:rsidRPr="00A9446C" w:rsidRDefault="00972D0C" w:rsidP="00972D0C">
      <w:pPr>
        <w:widowControl w:val="0"/>
        <w:spacing w:after="0"/>
        <w:jc w:val="center"/>
        <w:rPr>
          <w:rFonts w:ascii="Times New Roman" w:hAnsi="Times New Roman" w:cs="Times New Roman"/>
          <w:b/>
          <w:sz w:val="24"/>
          <w:szCs w:val="24"/>
          <w:lang w:val="sq-AL"/>
        </w:rPr>
      </w:pPr>
      <w:r w:rsidRPr="00A9446C">
        <w:rPr>
          <w:rFonts w:ascii="Times New Roman" w:hAnsi="Times New Roman" w:cs="Times New Roman"/>
          <w:b/>
          <w:sz w:val="24"/>
          <w:szCs w:val="24"/>
          <w:lang w:val="sq-AL"/>
        </w:rPr>
        <w:t>DHE EKONOMISË</w:t>
      </w:r>
    </w:p>
    <w:p w:rsidR="00972D0C" w:rsidRPr="00A9446C" w:rsidRDefault="00972D0C" w:rsidP="00972D0C">
      <w:pPr>
        <w:widowControl w:val="0"/>
        <w:spacing w:after="0"/>
        <w:jc w:val="center"/>
        <w:rPr>
          <w:rFonts w:ascii="Times New Roman" w:hAnsi="Times New Roman" w:cs="Times New Roman"/>
          <w:b/>
          <w:sz w:val="28"/>
          <w:szCs w:val="24"/>
          <w:lang w:val="sq-AL"/>
        </w:rPr>
      </w:pPr>
      <w:r w:rsidRPr="00A9446C">
        <w:rPr>
          <w:rFonts w:ascii="Times New Roman" w:hAnsi="Times New Roman" w:cs="Times New Roman"/>
          <w:b/>
          <w:sz w:val="24"/>
          <w:szCs w:val="24"/>
          <w:lang w:val="sq-AL"/>
        </w:rPr>
        <w:t>DREJTORIA E APELIMIT TATIMOR</w:t>
      </w:r>
    </w:p>
    <w:p w:rsidR="00972D0C" w:rsidRPr="00A9446C" w:rsidRDefault="00972D0C" w:rsidP="00972D0C">
      <w:pPr>
        <w:widowControl w:val="0"/>
        <w:spacing w:after="0"/>
        <w:jc w:val="center"/>
        <w:rPr>
          <w:rFonts w:ascii="Times New Roman" w:hAnsi="Times New Roman" w:cs="Times New Roman"/>
          <w:b/>
          <w:sz w:val="24"/>
          <w:szCs w:val="24"/>
          <w:lang w:val="sq-AL"/>
        </w:rPr>
      </w:pPr>
    </w:p>
    <w:p w:rsidR="00972D0C" w:rsidRPr="00A9446C" w:rsidRDefault="00972D0C" w:rsidP="00972D0C">
      <w:pPr>
        <w:widowControl w:val="0"/>
        <w:spacing w:after="0"/>
        <w:jc w:val="center"/>
        <w:rPr>
          <w:rFonts w:ascii="Times New Roman" w:hAnsi="Times New Roman" w:cs="Times New Roman"/>
          <w:b/>
          <w:sz w:val="24"/>
          <w:szCs w:val="24"/>
          <w:lang w:val="sq-AL"/>
        </w:rPr>
      </w:pPr>
    </w:p>
    <w:p w:rsidR="00972D0C" w:rsidRPr="00A9446C" w:rsidRDefault="00972D0C" w:rsidP="00972D0C">
      <w:pPr>
        <w:widowControl w:val="0"/>
        <w:spacing w:after="0"/>
        <w:jc w:val="both"/>
        <w:rPr>
          <w:rFonts w:ascii="Times New Roman" w:hAnsi="Times New Roman" w:cs="Times New Roman"/>
          <w:sz w:val="24"/>
          <w:szCs w:val="24"/>
          <w:lang w:val="sq-AL"/>
        </w:rPr>
      </w:pPr>
      <w:r w:rsidRPr="00A9446C">
        <w:rPr>
          <w:rFonts w:ascii="Times New Roman" w:hAnsi="Times New Roman" w:cs="Times New Roman"/>
          <w:sz w:val="24"/>
          <w:szCs w:val="24"/>
          <w:lang w:val="sq-AL"/>
        </w:rPr>
        <w:t>Nr._________prot.</w:t>
      </w:r>
      <w:r w:rsidRPr="00A9446C">
        <w:rPr>
          <w:rFonts w:ascii="Times New Roman" w:hAnsi="Times New Roman" w:cs="Times New Roman"/>
          <w:sz w:val="24"/>
          <w:szCs w:val="24"/>
          <w:lang w:val="sq-AL"/>
        </w:rPr>
        <w:tab/>
      </w:r>
      <w:r w:rsidRPr="00A9446C">
        <w:rPr>
          <w:rFonts w:ascii="Times New Roman" w:hAnsi="Times New Roman" w:cs="Times New Roman"/>
          <w:sz w:val="24"/>
          <w:szCs w:val="24"/>
          <w:lang w:val="sq-AL"/>
        </w:rPr>
        <w:tab/>
      </w:r>
      <w:r w:rsidRPr="00A9446C">
        <w:rPr>
          <w:rFonts w:ascii="Times New Roman" w:hAnsi="Times New Roman" w:cs="Times New Roman"/>
          <w:sz w:val="24"/>
          <w:szCs w:val="24"/>
          <w:lang w:val="sq-AL"/>
        </w:rPr>
        <w:tab/>
      </w:r>
      <w:r w:rsidRPr="00A9446C">
        <w:rPr>
          <w:rFonts w:ascii="Times New Roman" w:hAnsi="Times New Roman" w:cs="Times New Roman"/>
          <w:sz w:val="24"/>
          <w:szCs w:val="24"/>
          <w:lang w:val="sq-AL"/>
        </w:rPr>
        <w:tab/>
      </w:r>
      <w:r w:rsidRPr="00A9446C">
        <w:rPr>
          <w:rFonts w:ascii="Times New Roman" w:hAnsi="Times New Roman" w:cs="Times New Roman"/>
          <w:sz w:val="24"/>
          <w:szCs w:val="24"/>
          <w:lang w:val="sq-AL"/>
        </w:rPr>
        <w:tab/>
      </w:r>
      <w:r w:rsidRPr="00A9446C">
        <w:rPr>
          <w:rFonts w:ascii="Times New Roman" w:hAnsi="Times New Roman" w:cs="Times New Roman"/>
          <w:sz w:val="24"/>
          <w:szCs w:val="24"/>
          <w:lang w:val="sq-AL"/>
        </w:rPr>
        <w:tab/>
        <w:t xml:space="preserve">             Tiranë, më___.___.2017 </w:t>
      </w:r>
    </w:p>
    <w:p w:rsidR="00C62507" w:rsidRPr="007C793C" w:rsidRDefault="00C62507" w:rsidP="007C5C20">
      <w:pPr>
        <w:widowControl w:val="0"/>
        <w:spacing w:after="0" w:line="276" w:lineRule="auto"/>
        <w:jc w:val="both"/>
        <w:rPr>
          <w:rFonts w:ascii="Times New Roman" w:hAnsi="Times New Roman" w:cs="Times New Roman"/>
          <w:sz w:val="25"/>
          <w:szCs w:val="25"/>
          <w:lang w:val="sq-AL"/>
        </w:rPr>
      </w:pPr>
    </w:p>
    <w:p w:rsidR="00CA4252" w:rsidRPr="00A04B1A" w:rsidRDefault="00CA4252" w:rsidP="00A2371A">
      <w:pPr>
        <w:widowControl w:val="0"/>
        <w:spacing w:after="0" w:line="240" w:lineRule="auto"/>
        <w:ind w:left="851" w:hanging="851"/>
        <w:jc w:val="both"/>
        <w:rPr>
          <w:rFonts w:ascii="Times New Roman" w:hAnsi="Times New Roman" w:cs="Times New Roman"/>
          <w:sz w:val="25"/>
          <w:szCs w:val="25"/>
          <w:lang w:val="sq-AL"/>
        </w:rPr>
      </w:pPr>
    </w:p>
    <w:p w:rsidR="00A04B1A" w:rsidRPr="00A04B1A" w:rsidRDefault="00A04B1A" w:rsidP="0030086E">
      <w:pPr>
        <w:widowControl w:val="0"/>
        <w:spacing w:after="0" w:line="276" w:lineRule="auto"/>
        <w:jc w:val="center"/>
        <w:rPr>
          <w:rFonts w:ascii="Times New Roman" w:hAnsi="Times New Roman" w:cs="Times New Roman"/>
          <w:b/>
          <w:sz w:val="25"/>
          <w:szCs w:val="25"/>
          <w:lang w:val="sq-AL"/>
        </w:rPr>
      </w:pPr>
    </w:p>
    <w:p w:rsidR="00A04B1A" w:rsidRPr="00A04B1A" w:rsidRDefault="00A04B1A" w:rsidP="00A04B1A">
      <w:pPr>
        <w:widowControl w:val="0"/>
        <w:spacing w:after="0" w:line="276" w:lineRule="auto"/>
        <w:jc w:val="center"/>
        <w:rPr>
          <w:rFonts w:ascii="Times New Roman" w:hAnsi="Times New Roman" w:cs="Times New Roman"/>
          <w:b/>
          <w:sz w:val="25"/>
          <w:szCs w:val="25"/>
          <w:lang w:val="sq-AL"/>
        </w:rPr>
      </w:pPr>
      <w:r w:rsidRPr="00A04B1A">
        <w:rPr>
          <w:rFonts w:ascii="Times New Roman" w:hAnsi="Times New Roman" w:cs="Times New Roman"/>
          <w:b/>
          <w:sz w:val="25"/>
          <w:szCs w:val="25"/>
          <w:lang w:val="sq-AL"/>
        </w:rPr>
        <w:t>V E N D I M</w:t>
      </w:r>
    </w:p>
    <w:p w:rsidR="00A04B1A" w:rsidRPr="00A04B1A" w:rsidRDefault="00A04B1A" w:rsidP="00A04B1A">
      <w:pPr>
        <w:widowControl w:val="0"/>
        <w:spacing w:after="0" w:line="276" w:lineRule="auto"/>
        <w:jc w:val="center"/>
        <w:rPr>
          <w:rFonts w:ascii="Times New Roman" w:hAnsi="Times New Roman" w:cs="Times New Roman"/>
          <w:b/>
          <w:sz w:val="25"/>
          <w:szCs w:val="25"/>
          <w:lang w:val="sq-AL"/>
        </w:rPr>
      </w:pPr>
    </w:p>
    <w:p w:rsidR="00A04B1A" w:rsidRPr="00A04B1A" w:rsidRDefault="00A04B1A" w:rsidP="00A04B1A">
      <w:pPr>
        <w:widowControl w:val="0"/>
        <w:spacing w:after="0" w:line="276" w:lineRule="auto"/>
        <w:jc w:val="both"/>
        <w:rPr>
          <w:rFonts w:ascii="Times New Roman" w:hAnsi="Times New Roman" w:cs="Times New Roman"/>
          <w:sz w:val="25"/>
          <w:szCs w:val="25"/>
          <w:lang w:val="sq-AL"/>
        </w:rPr>
      </w:pPr>
      <w:r w:rsidRPr="00A04B1A">
        <w:rPr>
          <w:rFonts w:ascii="Times New Roman" w:hAnsi="Times New Roman" w:cs="Times New Roman"/>
          <w:sz w:val="25"/>
          <w:szCs w:val="25"/>
          <w:lang w:val="sq-AL"/>
        </w:rPr>
        <w:t>Drejtoria e Apelimit Tatimor, në zbatim të kreut XIII të Ligjit Nr. 9920, datë 19.05.2008 “Për Procedurat Tatimore në RSH”, mori në shqyrtim kërkesën an</w:t>
      </w:r>
      <w:r w:rsidR="00D56D33">
        <w:rPr>
          <w:rFonts w:ascii="Times New Roman" w:hAnsi="Times New Roman" w:cs="Times New Roman"/>
          <w:sz w:val="25"/>
          <w:szCs w:val="25"/>
          <w:lang w:val="sq-AL"/>
        </w:rPr>
        <w:t>kimore,</w:t>
      </w:r>
      <w:r w:rsidRPr="00A04B1A">
        <w:rPr>
          <w:rFonts w:ascii="Times New Roman" w:hAnsi="Times New Roman" w:cs="Times New Roman"/>
          <w:sz w:val="25"/>
          <w:szCs w:val="25"/>
          <w:lang w:val="sq-AL"/>
        </w:rPr>
        <w:t xml:space="preserve"> që i përket:</w:t>
      </w:r>
    </w:p>
    <w:p w:rsidR="00A04B1A" w:rsidRPr="00A04B1A" w:rsidRDefault="00A04B1A" w:rsidP="00A2371A">
      <w:pPr>
        <w:widowControl w:val="0"/>
        <w:spacing w:after="0" w:line="240" w:lineRule="auto"/>
        <w:jc w:val="both"/>
        <w:rPr>
          <w:rFonts w:ascii="Times New Roman" w:hAnsi="Times New Roman" w:cs="Times New Roman"/>
          <w:sz w:val="25"/>
          <w:szCs w:val="25"/>
          <w:lang w:val="sq-AL"/>
        </w:rPr>
      </w:pPr>
    </w:p>
    <w:p w:rsidR="00A04B1A" w:rsidRPr="00A04B1A" w:rsidRDefault="00972D0C" w:rsidP="00A04B1A">
      <w:pPr>
        <w:widowControl w:val="0"/>
        <w:spacing w:after="0" w:line="276" w:lineRule="auto"/>
        <w:rPr>
          <w:rFonts w:ascii="Times New Roman" w:hAnsi="Times New Roman" w:cs="Times New Roman"/>
          <w:sz w:val="25"/>
          <w:szCs w:val="25"/>
          <w:lang w:val="sq-AL"/>
        </w:rPr>
      </w:pPr>
      <w:r>
        <w:rPr>
          <w:rFonts w:ascii="Times New Roman" w:hAnsi="Times New Roman" w:cs="Times New Roman"/>
          <w:sz w:val="25"/>
          <w:szCs w:val="25"/>
          <w:lang w:val="sq-AL"/>
        </w:rPr>
        <w:t xml:space="preserve">KËRKUES: </w:t>
      </w:r>
      <w:r>
        <w:rPr>
          <w:rFonts w:ascii="Times New Roman" w:hAnsi="Times New Roman" w:cs="Times New Roman"/>
          <w:sz w:val="25"/>
          <w:szCs w:val="25"/>
          <w:lang w:val="sq-AL"/>
        </w:rPr>
        <w:tab/>
      </w:r>
      <w:r w:rsidR="00D56D33">
        <w:rPr>
          <w:rStyle w:val="twocolumnlayoutmenuheader2"/>
          <w:rFonts w:ascii="Times New Roman" w:hAnsi="Times New Roman" w:cs="Times New Roman"/>
          <w:sz w:val="25"/>
          <w:szCs w:val="25"/>
        </w:rPr>
        <w:t>____________________</w:t>
      </w:r>
    </w:p>
    <w:p w:rsidR="00A04B1A" w:rsidRPr="00A04B1A" w:rsidRDefault="00A04B1A" w:rsidP="00E67A82">
      <w:pPr>
        <w:widowControl w:val="0"/>
        <w:spacing w:after="0" w:line="276" w:lineRule="auto"/>
        <w:ind w:left="1440" w:hanging="1440"/>
        <w:jc w:val="both"/>
        <w:rPr>
          <w:rFonts w:ascii="Times New Roman" w:hAnsi="Times New Roman" w:cs="Times New Roman"/>
          <w:sz w:val="25"/>
          <w:szCs w:val="25"/>
          <w:lang w:val="sq-AL"/>
        </w:rPr>
      </w:pPr>
      <w:r w:rsidRPr="00A04B1A">
        <w:rPr>
          <w:rFonts w:ascii="Times New Roman" w:hAnsi="Times New Roman" w:cs="Times New Roman"/>
          <w:sz w:val="25"/>
          <w:szCs w:val="25"/>
          <w:lang w:val="sq-AL"/>
        </w:rPr>
        <w:t xml:space="preserve">OBJEKTI: </w:t>
      </w:r>
      <w:r w:rsidRPr="00A04B1A">
        <w:rPr>
          <w:rFonts w:ascii="Times New Roman" w:hAnsi="Times New Roman" w:cs="Times New Roman"/>
          <w:sz w:val="25"/>
          <w:szCs w:val="25"/>
          <w:lang w:val="sq-AL"/>
        </w:rPr>
        <w:tab/>
        <w:t xml:space="preserve">Ankim </w:t>
      </w:r>
      <w:r w:rsidR="00972D0C">
        <w:rPr>
          <w:rFonts w:ascii="Times New Roman" w:hAnsi="Times New Roman" w:cs="Times New Roman"/>
          <w:sz w:val="25"/>
          <w:szCs w:val="25"/>
          <w:lang w:val="sq-AL"/>
        </w:rPr>
        <w:t xml:space="preserve">ndaj </w:t>
      </w:r>
      <w:r w:rsidR="00D56D33">
        <w:rPr>
          <w:rFonts w:ascii="Times New Roman" w:hAnsi="Times New Roman" w:cs="Times New Roman"/>
          <w:sz w:val="25"/>
          <w:szCs w:val="25"/>
          <w:lang w:val="sq-AL"/>
        </w:rPr>
        <w:t xml:space="preserve">akt-vlerësimit, </w:t>
      </w:r>
      <w:r w:rsidR="007E6D5E">
        <w:rPr>
          <w:rFonts w:ascii="Times New Roman" w:hAnsi="Times New Roman" w:cs="Times New Roman"/>
          <w:sz w:val="25"/>
          <w:szCs w:val="25"/>
          <w:lang w:val="sq-AL"/>
        </w:rPr>
        <w:t>njoftuar detyrime për TVSH në shumën 438.447 lekë</w:t>
      </w:r>
      <w:r w:rsidR="00D56D33">
        <w:rPr>
          <w:rFonts w:ascii="Times New Roman" w:hAnsi="Times New Roman" w:cs="Times New Roman"/>
          <w:sz w:val="25"/>
          <w:szCs w:val="25"/>
          <w:lang w:val="sq-AL"/>
        </w:rPr>
        <w:t>.</w:t>
      </w:r>
    </w:p>
    <w:p w:rsidR="00A04B1A" w:rsidRPr="00A04B1A" w:rsidRDefault="00A04B1A" w:rsidP="0030086E">
      <w:pPr>
        <w:widowControl w:val="0"/>
        <w:spacing w:after="0" w:line="276" w:lineRule="auto"/>
        <w:jc w:val="both"/>
        <w:rPr>
          <w:rFonts w:ascii="Times New Roman" w:hAnsi="Times New Roman" w:cs="Times New Roman"/>
          <w:sz w:val="25"/>
          <w:szCs w:val="25"/>
          <w:lang w:val="sq-AL"/>
        </w:rPr>
      </w:pPr>
    </w:p>
    <w:p w:rsidR="001A6AD8" w:rsidRPr="002631FB" w:rsidRDefault="001A6AD8" w:rsidP="001A6AD8">
      <w:pPr>
        <w:widowControl w:val="0"/>
        <w:spacing w:after="0" w:line="276" w:lineRule="auto"/>
        <w:jc w:val="both"/>
        <w:rPr>
          <w:rFonts w:ascii="Times New Roman" w:hAnsi="Times New Roman"/>
          <w:sz w:val="25"/>
          <w:szCs w:val="25"/>
          <w:lang w:val="sq-AL"/>
        </w:rPr>
      </w:pPr>
      <w:r w:rsidRPr="002631FB">
        <w:rPr>
          <w:rFonts w:ascii="Times New Roman" w:hAnsi="Times New Roman"/>
          <w:sz w:val="25"/>
          <w:szCs w:val="25"/>
          <w:lang w:val="sq-AL"/>
        </w:rPr>
        <w:t>Fillimisht bëjmë me dije se, Drejtoria e Apelimit Tatimor shqyrton ankimin tatimor dhe merr vendim në bazë të provave dhe argumentave të paraqitura nga tatimpaguesi, vetëm pasi të jenë plotësuar kërkesat ligjore të përcaktuara në nenin 106 dhe 107 të Ligjit Nr.9920 datë 19.05.2008, “Për Procedurat Tatimore në R.SH-së”(i ndryshuar).</w:t>
      </w:r>
    </w:p>
    <w:p w:rsidR="001A6AD8" w:rsidRPr="002631FB" w:rsidRDefault="001A6AD8" w:rsidP="001A6AD8">
      <w:pPr>
        <w:widowControl w:val="0"/>
        <w:spacing w:after="0" w:line="276" w:lineRule="auto"/>
        <w:jc w:val="both"/>
        <w:rPr>
          <w:rFonts w:ascii="Times New Roman" w:hAnsi="Times New Roman"/>
          <w:sz w:val="25"/>
          <w:szCs w:val="25"/>
          <w:lang w:val="sq-AL"/>
        </w:rPr>
      </w:pPr>
    </w:p>
    <w:p w:rsidR="001A6AD8" w:rsidRPr="002631FB" w:rsidRDefault="001A6AD8" w:rsidP="001A6AD8">
      <w:pPr>
        <w:widowControl w:val="0"/>
        <w:spacing w:after="0" w:line="276" w:lineRule="auto"/>
        <w:jc w:val="both"/>
        <w:rPr>
          <w:rFonts w:ascii="Times New Roman" w:hAnsi="Times New Roman"/>
          <w:sz w:val="25"/>
          <w:szCs w:val="25"/>
          <w:lang w:val="sq-AL"/>
        </w:rPr>
      </w:pPr>
      <w:r w:rsidRPr="002631FB">
        <w:rPr>
          <w:rFonts w:ascii="Times New Roman" w:hAnsi="Times New Roman"/>
          <w:sz w:val="25"/>
          <w:szCs w:val="25"/>
          <w:lang w:val="sq-AL"/>
        </w:rPr>
        <w:t>Lidhur me ankimin e depozituar, nga shqyrtimi paraprak i kërkesës ankimore, është konstatuar mungesa e dokumentacionit të përcaktuar në Udhëzimin nr. 24 të Ministrit të Financave, datë 02.09.2008 “Për Procedurat Tatimore në RSH”, pika 106.2.4. Tatimpaguesi nuk ka</w:t>
      </w:r>
      <w:r w:rsidR="00CD77AC">
        <w:rPr>
          <w:rFonts w:ascii="Times New Roman" w:hAnsi="Times New Roman"/>
          <w:sz w:val="25"/>
          <w:szCs w:val="25"/>
          <w:lang w:val="sq-AL"/>
        </w:rPr>
        <w:t xml:space="preserve"> paraqitur aktin, objekt ankimi, dhe dokumentacion i cili vërteton plotësimin e kushtit të pagesës , ose Garanci Bankare të detyrimit tatim dhe kamatvonesa të përcaktuar në Njoftim Vlerësim.</w:t>
      </w:r>
      <w:r w:rsidRPr="002631FB">
        <w:rPr>
          <w:rFonts w:ascii="Times New Roman" w:hAnsi="Times New Roman"/>
          <w:sz w:val="25"/>
          <w:szCs w:val="25"/>
          <w:lang w:val="sq-AL"/>
        </w:rPr>
        <w:t xml:space="preserve">  </w:t>
      </w:r>
    </w:p>
    <w:p w:rsidR="001A6AD8" w:rsidRDefault="001A6AD8" w:rsidP="001A6AD8">
      <w:pPr>
        <w:widowControl w:val="0"/>
        <w:spacing w:after="0" w:line="276" w:lineRule="auto"/>
        <w:jc w:val="both"/>
        <w:rPr>
          <w:rFonts w:ascii="Times New Roman" w:hAnsi="Times New Roman"/>
          <w:sz w:val="25"/>
          <w:szCs w:val="25"/>
          <w:lang w:val="sq-AL"/>
        </w:rPr>
      </w:pPr>
    </w:p>
    <w:p w:rsidR="00CD77AC" w:rsidRDefault="001A6AD8" w:rsidP="001A6AD8">
      <w:pPr>
        <w:widowControl w:val="0"/>
        <w:spacing w:after="0" w:line="276" w:lineRule="auto"/>
        <w:jc w:val="both"/>
        <w:rPr>
          <w:rFonts w:ascii="Times New Roman" w:hAnsi="Times New Roman"/>
          <w:sz w:val="25"/>
          <w:szCs w:val="25"/>
          <w:lang w:val="sq-AL"/>
        </w:rPr>
      </w:pPr>
      <w:r w:rsidRPr="002631FB">
        <w:rPr>
          <w:rFonts w:ascii="Times New Roman" w:hAnsi="Times New Roman"/>
          <w:sz w:val="25"/>
          <w:szCs w:val="25"/>
          <w:lang w:val="sq-AL"/>
        </w:rPr>
        <w:t xml:space="preserve">Bazuar në pikën 106.2.5, Drejtoria e Apelimit Tatimor ka kërkuar plotësimin e kërkesës ankimore me dokumentacionin </w:t>
      </w:r>
      <w:r w:rsidR="00CD77AC">
        <w:rPr>
          <w:rFonts w:ascii="Times New Roman" w:hAnsi="Times New Roman"/>
          <w:sz w:val="25"/>
          <w:szCs w:val="25"/>
          <w:lang w:val="sq-AL"/>
        </w:rPr>
        <w:t xml:space="preserve">e munguar. Tatimpaguesi ka kthyer përgjigje me shkresën datë 22.08.2017 dhe DRT </w:t>
      </w:r>
      <w:r w:rsidR="00D56D33">
        <w:rPr>
          <w:rFonts w:ascii="Times New Roman" w:hAnsi="Times New Roman"/>
          <w:sz w:val="25"/>
          <w:szCs w:val="25"/>
          <w:lang w:val="sq-AL"/>
        </w:rPr>
        <w:t>me shkresën, datë 21.08.2017</w:t>
      </w:r>
      <w:r w:rsidR="00CD77AC">
        <w:rPr>
          <w:rFonts w:ascii="Times New Roman" w:hAnsi="Times New Roman"/>
          <w:sz w:val="25"/>
          <w:szCs w:val="25"/>
          <w:lang w:val="sq-AL"/>
        </w:rPr>
        <w:t>.</w:t>
      </w:r>
    </w:p>
    <w:p w:rsidR="00CD77AC" w:rsidRDefault="00CD77AC" w:rsidP="001A6AD8">
      <w:pPr>
        <w:widowControl w:val="0"/>
        <w:spacing w:after="0" w:line="276" w:lineRule="auto"/>
        <w:jc w:val="both"/>
        <w:rPr>
          <w:rFonts w:ascii="Times New Roman" w:hAnsi="Times New Roman"/>
          <w:sz w:val="25"/>
          <w:szCs w:val="25"/>
          <w:lang w:val="sq-AL"/>
        </w:rPr>
      </w:pPr>
    </w:p>
    <w:p w:rsidR="00D56D33" w:rsidRPr="00540ED4" w:rsidRDefault="00540ED4" w:rsidP="00D56D33">
      <w:pPr>
        <w:widowControl w:val="0"/>
        <w:spacing w:after="0" w:line="276" w:lineRule="auto"/>
        <w:jc w:val="both"/>
        <w:rPr>
          <w:rFonts w:ascii="Times New Roman" w:hAnsi="Times New Roman"/>
          <w:sz w:val="25"/>
          <w:szCs w:val="25"/>
          <w:lang w:val="sq-AL"/>
        </w:rPr>
      </w:pPr>
      <w:r>
        <w:rPr>
          <w:rFonts w:ascii="Times New Roman" w:hAnsi="Times New Roman"/>
          <w:sz w:val="25"/>
          <w:szCs w:val="25"/>
          <w:lang w:val="sq-AL"/>
        </w:rPr>
        <w:t xml:space="preserve">Drejtoria e Apelimit Tatimor vëren se edhe në kthimin e përgjigjes </w:t>
      </w:r>
      <w:r w:rsidR="00CA2401">
        <w:rPr>
          <w:rFonts w:ascii="Times New Roman" w:hAnsi="Times New Roman"/>
          <w:sz w:val="25"/>
          <w:szCs w:val="25"/>
          <w:lang w:val="sq-AL"/>
        </w:rPr>
        <w:t>tatimpaguesi ka</w:t>
      </w:r>
      <w:r w:rsidR="00D56D33">
        <w:rPr>
          <w:rFonts w:ascii="Times New Roman" w:hAnsi="Times New Roman"/>
          <w:sz w:val="25"/>
          <w:szCs w:val="25"/>
          <w:lang w:val="sq-AL"/>
        </w:rPr>
        <w:t xml:space="preserve"> bashkëlidhur akt-vlerësimin, </w:t>
      </w:r>
      <w:r w:rsidRPr="00540ED4">
        <w:rPr>
          <w:rFonts w:ascii="Times New Roman" w:hAnsi="Times New Roman"/>
          <w:sz w:val="25"/>
          <w:szCs w:val="25"/>
          <w:lang w:val="sq-AL"/>
        </w:rPr>
        <w:t xml:space="preserve">datë 16.06.2017 i cili </w:t>
      </w:r>
      <w:r w:rsidR="00CA2401">
        <w:rPr>
          <w:rFonts w:ascii="Times New Roman" w:hAnsi="Times New Roman"/>
          <w:sz w:val="25"/>
          <w:szCs w:val="25"/>
          <w:lang w:val="sq-AL"/>
        </w:rPr>
        <w:t xml:space="preserve">nuk është </w:t>
      </w:r>
      <w:r w:rsidRPr="00540ED4">
        <w:rPr>
          <w:rFonts w:ascii="Times New Roman" w:hAnsi="Times New Roman"/>
          <w:sz w:val="25"/>
          <w:szCs w:val="25"/>
          <w:lang w:val="sq-AL"/>
        </w:rPr>
        <w:t xml:space="preserve">objekt </w:t>
      </w:r>
      <w:r w:rsidR="00D56D33">
        <w:rPr>
          <w:rFonts w:ascii="Times New Roman" w:hAnsi="Times New Roman"/>
          <w:sz w:val="25"/>
          <w:szCs w:val="25"/>
          <w:lang w:val="sq-AL"/>
        </w:rPr>
        <w:t xml:space="preserve">ankimi në DAT </w:t>
      </w:r>
      <w:r w:rsidRPr="00540ED4">
        <w:rPr>
          <w:rFonts w:ascii="Times New Roman" w:hAnsi="Times New Roman"/>
          <w:sz w:val="25"/>
          <w:szCs w:val="25"/>
          <w:lang w:val="sq-AL"/>
        </w:rPr>
        <w:t xml:space="preserve"> referuar nenit 106 të ligjit 9920, datë 19.05.2008 “Për Procedurat Tatimore në RSH”</w:t>
      </w:r>
      <w:r w:rsidR="00D56D33">
        <w:rPr>
          <w:rFonts w:ascii="Times New Roman" w:hAnsi="Times New Roman"/>
          <w:sz w:val="25"/>
          <w:szCs w:val="25"/>
          <w:lang w:val="sq-AL"/>
        </w:rPr>
        <w:t xml:space="preserve"> i ndryshuar. </w:t>
      </w:r>
      <w:r w:rsidRPr="00540ED4">
        <w:rPr>
          <w:rFonts w:ascii="Times New Roman" w:hAnsi="Times New Roman"/>
          <w:sz w:val="25"/>
          <w:szCs w:val="25"/>
          <w:lang w:val="sq-AL"/>
        </w:rPr>
        <w:t xml:space="preserve"> </w:t>
      </w:r>
    </w:p>
    <w:p w:rsidR="001A6AD8" w:rsidRDefault="001A6AD8" w:rsidP="001A6AD8">
      <w:pPr>
        <w:widowControl w:val="0"/>
        <w:spacing w:after="0" w:line="276" w:lineRule="auto"/>
        <w:jc w:val="both"/>
        <w:rPr>
          <w:rFonts w:ascii="Times New Roman" w:hAnsi="Times New Roman"/>
          <w:sz w:val="25"/>
          <w:szCs w:val="25"/>
          <w:lang w:val="sq-AL"/>
        </w:rPr>
      </w:pPr>
    </w:p>
    <w:p w:rsidR="001A6AD8" w:rsidRPr="002631FB" w:rsidRDefault="001A6AD8" w:rsidP="001A6AD8">
      <w:pPr>
        <w:widowControl w:val="0"/>
        <w:spacing w:after="0" w:line="276" w:lineRule="auto"/>
        <w:jc w:val="both"/>
        <w:rPr>
          <w:rFonts w:ascii="Times New Roman" w:hAnsi="Times New Roman"/>
          <w:sz w:val="25"/>
          <w:szCs w:val="25"/>
          <w:lang w:val="sq-AL"/>
        </w:rPr>
      </w:pPr>
      <w:r w:rsidRPr="00D02DE2">
        <w:rPr>
          <w:rFonts w:ascii="Times New Roman" w:hAnsi="Times New Roman"/>
          <w:sz w:val="25"/>
          <w:szCs w:val="25"/>
          <w:lang w:val="sq-AL"/>
        </w:rPr>
        <w:t>Deri në nxjerrjen e vendimit, tatimpaguesi nuk ka plotësuar ankimi</w:t>
      </w:r>
      <w:r>
        <w:rPr>
          <w:rFonts w:ascii="Times New Roman" w:hAnsi="Times New Roman"/>
          <w:sz w:val="25"/>
          <w:szCs w:val="25"/>
          <w:lang w:val="sq-AL"/>
        </w:rPr>
        <w:t xml:space="preserve">n me dokumentacionin e kërkuar, aktin </w:t>
      </w:r>
      <w:r w:rsidR="00CA2401">
        <w:rPr>
          <w:rFonts w:ascii="Times New Roman" w:hAnsi="Times New Roman"/>
          <w:sz w:val="25"/>
          <w:szCs w:val="25"/>
          <w:lang w:val="sq-AL"/>
        </w:rPr>
        <w:t xml:space="preserve"> administrativ Njoftim Vlerësimin </w:t>
      </w:r>
      <w:r>
        <w:rPr>
          <w:rFonts w:ascii="Times New Roman" w:hAnsi="Times New Roman"/>
          <w:sz w:val="25"/>
          <w:szCs w:val="25"/>
          <w:lang w:val="sq-AL"/>
        </w:rPr>
        <w:t xml:space="preserve">i cili do të jetë objekt ankimi, </w:t>
      </w:r>
      <w:r w:rsidRPr="002631FB">
        <w:rPr>
          <w:rFonts w:ascii="Times New Roman" w:hAnsi="Times New Roman"/>
          <w:sz w:val="25"/>
          <w:szCs w:val="25"/>
          <w:lang w:val="sq-AL"/>
        </w:rPr>
        <w:t xml:space="preserve">referuar nenit 106 të Ligjit nr.9920, datë 19.05.2008 “Për Procedurat Tatimore në RSH” i </w:t>
      </w:r>
      <w:r w:rsidRPr="002631FB">
        <w:rPr>
          <w:rFonts w:ascii="Times New Roman" w:hAnsi="Times New Roman"/>
          <w:sz w:val="25"/>
          <w:szCs w:val="25"/>
          <w:lang w:val="sq-AL"/>
        </w:rPr>
        <w:lastRenderedPageBreak/>
        <w:t>ndryshuar.</w:t>
      </w:r>
    </w:p>
    <w:p w:rsidR="001A6AD8" w:rsidRDefault="001A6AD8" w:rsidP="001A6AD8">
      <w:pPr>
        <w:widowControl w:val="0"/>
        <w:spacing w:after="0" w:line="276" w:lineRule="auto"/>
        <w:jc w:val="both"/>
        <w:rPr>
          <w:rFonts w:ascii="Times New Roman" w:hAnsi="Times New Roman"/>
          <w:sz w:val="25"/>
          <w:szCs w:val="25"/>
          <w:lang w:val="sq-AL"/>
        </w:rPr>
      </w:pPr>
    </w:p>
    <w:p w:rsidR="001A6AD8" w:rsidRPr="002631FB" w:rsidRDefault="001A6AD8" w:rsidP="001A6AD8">
      <w:pPr>
        <w:widowControl w:val="0"/>
        <w:spacing w:after="0" w:line="276" w:lineRule="auto"/>
        <w:jc w:val="both"/>
        <w:rPr>
          <w:rFonts w:ascii="Times New Roman" w:hAnsi="Times New Roman"/>
          <w:sz w:val="25"/>
          <w:szCs w:val="25"/>
          <w:lang w:val="sq-AL"/>
        </w:rPr>
      </w:pPr>
      <w:r w:rsidRPr="002631FB">
        <w:rPr>
          <w:rFonts w:ascii="Times New Roman" w:hAnsi="Times New Roman"/>
          <w:sz w:val="25"/>
          <w:szCs w:val="25"/>
          <w:lang w:val="sq-AL"/>
        </w:rPr>
        <w:t>Sa më sipër, Drejtoria e Apelimit Tatimor e konsideron të paplotësuar kushtin e përcaktuar në nenin 106 të ligjit, dhe 106.2.4 të Udhëzimit duke argumentuar se:</w:t>
      </w:r>
    </w:p>
    <w:p w:rsidR="001A6AD8" w:rsidRDefault="001A6AD8" w:rsidP="001A6AD8">
      <w:pPr>
        <w:widowControl w:val="0"/>
        <w:spacing w:after="0" w:line="276" w:lineRule="auto"/>
        <w:jc w:val="both"/>
        <w:rPr>
          <w:rFonts w:ascii="Times New Roman" w:hAnsi="Times New Roman"/>
          <w:sz w:val="25"/>
          <w:szCs w:val="25"/>
          <w:lang w:val="sq-AL"/>
        </w:rPr>
      </w:pPr>
    </w:p>
    <w:p w:rsidR="001A6AD8" w:rsidRPr="00D02DE2" w:rsidRDefault="001A6AD8" w:rsidP="001A6AD8">
      <w:pPr>
        <w:widowControl w:val="0"/>
        <w:spacing w:after="0" w:line="276" w:lineRule="auto"/>
        <w:jc w:val="both"/>
        <w:rPr>
          <w:rFonts w:ascii="Times New Roman" w:hAnsi="Times New Roman"/>
          <w:sz w:val="25"/>
          <w:szCs w:val="25"/>
          <w:lang w:val="sq-AL"/>
        </w:rPr>
      </w:pPr>
      <w:r w:rsidRPr="00D02DE2">
        <w:rPr>
          <w:rFonts w:ascii="Times New Roman" w:hAnsi="Times New Roman"/>
          <w:sz w:val="25"/>
          <w:szCs w:val="25"/>
          <w:lang w:val="sq-AL"/>
        </w:rPr>
        <w:t>Pika 1 e nenit 106 përcakton në mënyrë konkrete aktet që mund të bëhen objekt ankimi pranë kësaj drejtorie, ku citojmë “</w:t>
      </w:r>
      <w:r w:rsidRPr="00B80FC0">
        <w:rPr>
          <w:rFonts w:ascii="Times New Roman" w:hAnsi="Times New Roman"/>
          <w:i/>
          <w:sz w:val="25"/>
          <w:szCs w:val="25"/>
          <w:lang w:val="sq-AL"/>
        </w:rPr>
        <w:t>Tatimpaguesi mund të ankimojë kundër çdo njoftim vlerësimi, çdo vendimi që ndikon në detyrimin e tij tatimor, çdo kërkese për rimbursim ose lehtësim tatimor, ose çdo akti ekzekutiv të posaçëm tatimor, në lidhje me tatimpaguesin”.</w:t>
      </w:r>
    </w:p>
    <w:p w:rsidR="00CA2401" w:rsidRDefault="00CA2401" w:rsidP="001A6AD8">
      <w:pPr>
        <w:widowControl w:val="0"/>
        <w:spacing w:after="0" w:line="276" w:lineRule="auto"/>
        <w:jc w:val="both"/>
        <w:rPr>
          <w:rFonts w:ascii="Times New Roman" w:hAnsi="Times New Roman"/>
          <w:sz w:val="25"/>
          <w:szCs w:val="25"/>
          <w:lang w:val="sq-AL"/>
        </w:rPr>
      </w:pPr>
    </w:p>
    <w:p w:rsidR="001A6AD8" w:rsidRPr="00B80FC0" w:rsidRDefault="001A6AD8" w:rsidP="001A6AD8">
      <w:pPr>
        <w:widowControl w:val="0"/>
        <w:spacing w:after="0" w:line="276" w:lineRule="auto"/>
        <w:jc w:val="both"/>
        <w:rPr>
          <w:rFonts w:ascii="Times New Roman" w:hAnsi="Times New Roman"/>
          <w:i/>
          <w:sz w:val="25"/>
          <w:szCs w:val="25"/>
          <w:lang w:val="sq-AL"/>
        </w:rPr>
      </w:pPr>
      <w:r w:rsidRPr="00D02DE2">
        <w:rPr>
          <w:rFonts w:ascii="Times New Roman" w:hAnsi="Times New Roman"/>
          <w:sz w:val="25"/>
          <w:szCs w:val="25"/>
          <w:lang w:val="sq-AL"/>
        </w:rPr>
        <w:t xml:space="preserve">Në pikën 106.2.4 të Udhëzimit nr.24  të Ministrit të Financave, datë 02.09.2008 “Për Procedurat Tatimore në RSH” është përcaktuar, </w:t>
      </w:r>
      <w:r w:rsidRPr="00B80FC0">
        <w:rPr>
          <w:rFonts w:ascii="Times New Roman" w:hAnsi="Times New Roman"/>
          <w:i/>
          <w:sz w:val="25"/>
          <w:szCs w:val="25"/>
          <w:lang w:val="sq-AL"/>
        </w:rPr>
        <w:t xml:space="preserve">Ankimi me shkrim dhe dokumentacioni që i bashkëngjitet duhet të përfshijë informacionin e mëposhtëm: </w:t>
      </w:r>
    </w:p>
    <w:p w:rsidR="001A6AD8" w:rsidRPr="00B80FC0" w:rsidRDefault="001A6AD8" w:rsidP="001A6AD8">
      <w:pPr>
        <w:widowControl w:val="0"/>
        <w:spacing w:after="0" w:line="276" w:lineRule="auto"/>
        <w:jc w:val="both"/>
        <w:rPr>
          <w:rFonts w:ascii="Times New Roman" w:hAnsi="Times New Roman"/>
          <w:i/>
          <w:sz w:val="25"/>
          <w:szCs w:val="25"/>
          <w:lang w:val="sq-AL"/>
        </w:rPr>
      </w:pPr>
      <w:r w:rsidRPr="00B80FC0">
        <w:rPr>
          <w:rFonts w:ascii="Times New Roman" w:hAnsi="Times New Roman"/>
          <w:i/>
          <w:sz w:val="25"/>
          <w:szCs w:val="25"/>
          <w:lang w:val="sq-AL"/>
        </w:rPr>
        <w:t xml:space="preserve">a) emrin dhe adresën e tatimpaguesit, </w:t>
      </w:r>
    </w:p>
    <w:p w:rsidR="001A6AD8" w:rsidRPr="00B80FC0" w:rsidRDefault="001A6AD8" w:rsidP="001A6AD8">
      <w:pPr>
        <w:widowControl w:val="0"/>
        <w:spacing w:after="0" w:line="276" w:lineRule="auto"/>
        <w:jc w:val="both"/>
        <w:rPr>
          <w:rFonts w:ascii="Times New Roman" w:hAnsi="Times New Roman"/>
          <w:i/>
          <w:sz w:val="25"/>
          <w:szCs w:val="25"/>
          <w:lang w:val="sq-AL"/>
        </w:rPr>
      </w:pPr>
      <w:r w:rsidRPr="00B80FC0">
        <w:rPr>
          <w:rFonts w:ascii="Times New Roman" w:hAnsi="Times New Roman"/>
          <w:i/>
          <w:sz w:val="25"/>
          <w:szCs w:val="25"/>
          <w:lang w:val="sq-AL"/>
        </w:rPr>
        <w:t xml:space="preserve">b) numrin e regjistrimit të tatimpaguesit (NIPT), </w:t>
      </w:r>
    </w:p>
    <w:p w:rsidR="001A6AD8" w:rsidRPr="00B80FC0" w:rsidRDefault="001A6AD8" w:rsidP="001A6AD8">
      <w:pPr>
        <w:widowControl w:val="0"/>
        <w:spacing w:after="0" w:line="276" w:lineRule="auto"/>
        <w:jc w:val="both"/>
        <w:rPr>
          <w:rFonts w:ascii="Times New Roman" w:hAnsi="Times New Roman"/>
          <w:i/>
          <w:sz w:val="25"/>
          <w:szCs w:val="25"/>
          <w:lang w:val="sq-AL"/>
        </w:rPr>
      </w:pPr>
      <w:r w:rsidRPr="00B80FC0">
        <w:rPr>
          <w:rFonts w:ascii="Times New Roman" w:hAnsi="Times New Roman"/>
          <w:i/>
          <w:sz w:val="25"/>
          <w:szCs w:val="25"/>
          <w:lang w:val="sq-AL"/>
        </w:rPr>
        <w:t>c) aktin administrativ, të nxjerrë ose të panxjerrë nga organi tatimor, që është objekt ankimi duke përfshirë periudhën tatimore përkatëse dhe shumën e detyrimit tatimor,</w:t>
      </w:r>
    </w:p>
    <w:p w:rsidR="001A6AD8" w:rsidRPr="00B80FC0" w:rsidRDefault="001A6AD8" w:rsidP="001A6AD8">
      <w:pPr>
        <w:widowControl w:val="0"/>
        <w:spacing w:after="0" w:line="276" w:lineRule="auto"/>
        <w:jc w:val="both"/>
        <w:rPr>
          <w:rFonts w:ascii="Times New Roman" w:hAnsi="Times New Roman"/>
          <w:i/>
          <w:sz w:val="25"/>
          <w:szCs w:val="25"/>
          <w:lang w:val="sq-AL"/>
        </w:rPr>
      </w:pPr>
      <w:r w:rsidRPr="00B80FC0">
        <w:rPr>
          <w:rFonts w:ascii="Times New Roman" w:hAnsi="Times New Roman"/>
          <w:i/>
          <w:sz w:val="25"/>
          <w:szCs w:val="25"/>
          <w:lang w:val="sq-AL"/>
        </w:rPr>
        <w:t>ç) vërtetimin e pagesës s</w:t>
      </w:r>
      <w:r>
        <w:rPr>
          <w:rFonts w:ascii="Times New Roman" w:hAnsi="Times New Roman"/>
          <w:i/>
          <w:sz w:val="25"/>
          <w:szCs w:val="25"/>
          <w:lang w:val="sq-AL"/>
        </w:rPr>
        <w:t>ë</w:t>
      </w:r>
      <w:r w:rsidRPr="00B80FC0">
        <w:rPr>
          <w:rFonts w:ascii="Times New Roman" w:hAnsi="Times New Roman"/>
          <w:i/>
          <w:sz w:val="25"/>
          <w:szCs w:val="25"/>
          <w:lang w:val="sq-AL"/>
        </w:rPr>
        <w:t xml:space="preserve"> detyrimit tatimor q</w:t>
      </w:r>
      <w:r>
        <w:rPr>
          <w:rFonts w:ascii="Times New Roman" w:hAnsi="Times New Roman"/>
          <w:i/>
          <w:sz w:val="25"/>
          <w:szCs w:val="25"/>
          <w:lang w:val="sq-AL"/>
        </w:rPr>
        <w:t>ë</w:t>
      </w:r>
      <w:r w:rsidRPr="00B80FC0">
        <w:rPr>
          <w:rFonts w:ascii="Times New Roman" w:hAnsi="Times New Roman"/>
          <w:i/>
          <w:sz w:val="25"/>
          <w:szCs w:val="25"/>
          <w:lang w:val="sq-AL"/>
        </w:rPr>
        <w:t xml:space="preserve"> ankimohet, </w:t>
      </w:r>
    </w:p>
    <w:p w:rsidR="001A6AD8" w:rsidRPr="00B80FC0" w:rsidRDefault="001A6AD8" w:rsidP="001A6AD8">
      <w:pPr>
        <w:widowControl w:val="0"/>
        <w:spacing w:after="0" w:line="276" w:lineRule="auto"/>
        <w:jc w:val="both"/>
        <w:rPr>
          <w:rFonts w:ascii="Times New Roman" w:hAnsi="Times New Roman"/>
          <w:i/>
          <w:sz w:val="25"/>
          <w:szCs w:val="25"/>
          <w:lang w:val="sq-AL"/>
        </w:rPr>
      </w:pPr>
      <w:r w:rsidRPr="00B80FC0">
        <w:rPr>
          <w:rFonts w:ascii="Times New Roman" w:hAnsi="Times New Roman"/>
          <w:i/>
          <w:sz w:val="25"/>
          <w:szCs w:val="25"/>
          <w:lang w:val="sq-AL"/>
        </w:rPr>
        <w:t xml:space="preserve">d) arsyet për ankimin e tij, </w:t>
      </w:r>
    </w:p>
    <w:p w:rsidR="001A6AD8" w:rsidRPr="00B80FC0" w:rsidRDefault="001A6AD8" w:rsidP="001A6AD8">
      <w:pPr>
        <w:widowControl w:val="0"/>
        <w:spacing w:after="0" w:line="276" w:lineRule="auto"/>
        <w:jc w:val="both"/>
        <w:rPr>
          <w:rFonts w:ascii="Times New Roman" w:hAnsi="Times New Roman"/>
          <w:i/>
          <w:sz w:val="25"/>
          <w:szCs w:val="25"/>
          <w:lang w:val="sq-AL"/>
        </w:rPr>
      </w:pPr>
      <w:r w:rsidRPr="00B80FC0">
        <w:rPr>
          <w:rFonts w:ascii="Times New Roman" w:hAnsi="Times New Roman"/>
          <w:i/>
          <w:sz w:val="25"/>
          <w:szCs w:val="25"/>
          <w:lang w:val="sq-AL"/>
        </w:rPr>
        <w:t xml:space="preserve">dh) informacion në mbështetje të ankimit (Aktin e kontrollit, proces-verbalet, etj.) </w:t>
      </w:r>
    </w:p>
    <w:p w:rsidR="001A6AD8" w:rsidRPr="00B80FC0" w:rsidRDefault="001A6AD8" w:rsidP="001A6AD8">
      <w:pPr>
        <w:widowControl w:val="0"/>
        <w:spacing w:after="0" w:line="276" w:lineRule="auto"/>
        <w:jc w:val="both"/>
        <w:rPr>
          <w:rFonts w:ascii="Times New Roman" w:hAnsi="Times New Roman"/>
          <w:i/>
          <w:sz w:val="25"/>
          <w:szCs w:val="25"/>
          <w:lang w:val="sq-AL"/>
        </w:rPr>
      </w:pPr>
      <w:r w:rsidRPr="00B80FC0">
        <w:rPr>
          <w:rFonts w:ascii="Times New Roman" w:hAnsi="Times New Roman"/>
          <w:i/>
          <w:sz w:val="25"/>
          <w:szCs w:val="25"/>
          <w:lang w:val="sq-AL"/>
        </w:rPr>
        <w:t xml:space="preserve">e) çdo dokument tjetër që ankimuesi e gjykon të rëndësishëm, </w:t>
      </w:r>
    </w:p>
    <w:p w:rsidR="001A6AD8" w:rsidRPr="00B80FC0" w:rsidRDefault="001A6AD8" w:rsidP="001A6AD8">
      <w:pPr>
        <w:widowControl w:val="0"/>
        <w:spacing w:after="0" w:line="276" w:lineRule="auto"/>
        <w:jc w:val="both"/>
        <w:rPr>
          <w:rFonts w:ascii="Times New Roman" w:hAnsi="Times New Roman"/>
          <w:i/>
          <w:sz w:val="25"/>
          <w:szCs w:val="25"/>
          <w:lang w:val="sq-AL"/>
        </w:rPr>
      </w:pPr>
      <w:r w:rsidRPr="00B80FC0">
        <w:rPr>
          <w:rFonts w:ascii="Times New Roman" w:hAnsi="Times New Roman"/>
          <w:i/>
          <w:sz w:val="25"/>
          <w:szCs w:val="25"/>
          <w:lang w:val="sq-AL"/>
        </w:rPr>
        <w:t>ë) nënshkrimin e tij.</w:t>
      </w:r>
    </w:p>
    <w:p w:rsidR="001A6AD8" w:rsidRPr="00D02DE2" w:rsidRDefault="001A6AD8" w:rsidP="001A6AD8">
      <w:pPr>
        <w:widowControl w:val="0"/>
        <w:spacing w:after="0" w:line="276" w:lineRule="auto"/>
        <w:jc w:val="both"/>
        <w:rPr>
          <w:rFonts w:ascii="Times New Roman" w:hAnsi="Times New Roman"/>
          <w:sz w:val="25"/>
          <w:szCs w:val="25"/>
          <w:lang w:val="sq-AL"/>
        </w:rPr>
      </w:pPr>
    </w:p>
    <w:p w:rsidR="001A6AD8" w:rsidRPr="00D02DE2" w:rsidRDefault="001A6AD8" w:rsidP="001A6AD8">
      <w:pPr>
        <w:widowControl w:val="0"/>
        <w:spacing w:after="0" w:line="276" w:lineRule="auto"/>
        <w:jc w:val="both"/>
        <w:rPr>
          <w:rFonts w:ascii="Times New Roman" w:hAnsi="Times New Roman"/>
          <w:sz w:val="25"/>
          <w:szCs w:val="25"/>
          <w:lang w:val="sq-AL"/>
        </w:rPr>
      </w:pPr>
      <w:r>
        <w:rPr>
          <w:rFonts w:ascii="Times New Roman" w:hAnsi="Times New Roman"/>
          <w:sz w:val="25"/>
          <w:szCs w:val="25"/>
          <w:lang w:val="sq-AL"/>
        </w:rPr>
        <w:t xml:space="preserve">Paragrafi 106.2.6, </w:t>
      </w:r>
      <w:r w:rsidRPr="00D02DE2">
        <w:rPr>
          <w:rFonts w:ascii="Times New Roman" w:hAnsi="Times New Roman"/>
          <w:sz w:val="25"/>
          <w:szCs w:val="25"/>
          <w:lang w:val="sq-AL"/>
        </w:rPr>
        <w:t>i Udhëzimit nr. 24, datë 02.09.2008 “Për Procedurat Tatimore në RSH” përcakton se “</w:t>
      </w:r>
      <w:r w:rsidRPr="00B80FC0">
        <w:rPr>
          <w:rFonts w:ascii="Times New Roman" w:hAnsi="Times New Roman"/>
          <w:i/>
          <w:sz w:val="25"/>
          <w:szCs w:val="25"/>
          <w:lang w:val="sq-AL"/>
        </w:rPr>
        <w:t>Nëse tatimpaguesi nuk përmbush kërkesat dhe procedurat sipas pikës 106.2.5 më lart, Drejtoria e Apelimit Tatimor ka të drejtë të refuzojë ankimin”.</w:t>
      </w:r>
    </w:p>
    <w:p w:rsidR="001A6AD8" w:rsidRPr="00D02DE2" w:rsidRDefault="001A6AD8" w:rsidP="001A6AD8">
      <w:pPr>
        <w:widowControl w:val="0"/>
        <w:spacing w:after="0" w:line="276" w:lineRule="auto"/>
        <w:jc w:val="both"/>
        <w:rPr>
          <w:rFonts w:ascii="Times New Roman" w:hAnsi="Times New Roman"/>
          <w:sz w:val="25"/>
          <w:szCs w:val="25"/>
          <w:lang w:val="sq-AL"/>
        </w:rPr>
      </w:pPr>
    </w:p>
    <w:p w:rsidR="007632A8" w:rsidRDefault="007632A8" w:rsidP="007632A8">
      <w:pPr>
        <w:widowControl w:val="0"/>
        <w:spacing w:after="0" w:line="276" w:lineRule="auto"/>
        <w:jc w:val="both"/>
        <w:rPr>
          <w:rFonts w:ascii="Times New Roman" w:hAnsi="Times New Roman"/>
          <w:sz w:val="25"/>
          <w:szCs w:val="25"/>
          <w:lang w:val="sq-AL"/>
        </w:rPr>
      </w:pPr>
      <w:r w:rsidRPr="007632A8">
        <w:rPr>
          <w:rFonts w:ascii="Times New Roman" w:hAnsi="Times New Roman"/>
          <w:sz w:val="25"/>
          <w:szCs w:val="25"/>
          <w:lang w:val="sq-AL"/>
        </w:rPr>
        <w:t>Drejtoria e Apelimit Tatimor sjell në vëmendje të tatimpaguesit se referuar nenit 106 të Ligjit 9920, procedura e ankimit përcakton se ankimi bëhet ndaj aktit administrativ që prodhon detyrimet tatimore dhe jo drejtpërdrejt ndaj detyrimeve tatimore. Kjo është arsyeja që përherë ankimi duhet të shoqërohet me aktin administrativ që ka krijuar detyrimet tatimore.</w:t>
      </w:r>
    </w:p>
    <w:p w:rsidR="007632A8" w:rsidRPr="007632A8" w:rsidRDefault="007632A8" w:rsidP="007632A8">
      <w:pPr>
        <w:widowControl w:val="0"/>
        <w:spacing w:after="0" w:line="276" w:lineRule="auto"/>
        <w:jc w:val="both"/>
        <w:rPr>
          <w:rFonts w:ascii="Times New Roman" w:hAnsi="Times New Roman"/>
          <w:sz w:val="25"/>
          <w:szCs w:val="25"/>
          <w:lang w:val="sq-AL"/>
        </w:rPr>
      </w:pPr>
    </w:p>
    <w:p w:rsidR="001A6AD8" w:rsidRPr="002631FB" w:rsidRDefault="001A6AD8" w:rsidP="001A6AD8">
      <w:pPr>
        <w:widowControl w:val="0"/>
        <w:spacing w:after="0" w:line="276" w:lineRule="auto"/>
        <w:jc w:val="both"/>
        <w:rPr>
          <w:rFonts w:ascii="Times New Roman" w:hAnsi="Times New Roman"/>
          <w:sz w:val="25"/>
          <w:szCs w:val="25"/>
          <w:lang w:val="sq-AL"/>
        </w:rPr>
      </w:pPr>
      <w:r w:rsidRPr="002631FB">
        <w:rPr>
          <w:rFonts w:ascii="Times New Roman" w:hAnsi="Times New Roman"/>
          <w:sz w:val="25"/>
          <w:szCs w:val="25"/>
          <w:lang w:val="sq-AL"/>
        </w:rPr>
        <w:t>Sa më sipër, Drejtoria e Apelimit Tatimor bazuar në Ligjin Nr.9920, datë 19.5.2008 “Për Procedurat Tatimore në R.Sh-së ”, i ndryshuar, nenet 106, 107, 108 dhe Udhëzimin Nr.24, datë 02.09.2008 (i ndryshuar), në zbatim të tij, pika 108.3.3,  gërma a,</w:t>
      </w:r>
    </w:p>
    <w:p w:rsidR="001A6AD8" w:rsidRPr="002631FB" w:rsidRDefault="001A6AD8" w:rsidP="001A6AD8">
      <w:pPr>
        <w:widowControl w:val="0"/>
        <w:spacing w:after="0" w:line="276" w:lineRule="auto"/>
        <w:jc w:val="both"/>
        <w:rPr>
          <w:rFonts w:ascii="Times New Roman" w:hAnsi="Times New Roman"/>
          <w:sz w:val="25"/>
          <w:szCs w:val="25"/>
          <w:lang w:val="sq-AL"/>
        </w:rPr>
      </w:pPr>
    </w:p>
    <w:p w:rsidR="001A6AD8" w:rsidRPr="002631FB" w:rsidRDefault="001A6AD8" w:rsidP="001A6AD8">
      <w:pPr>
        <w:widowControl w:val="0"/>
        <w:spacing w:after="0" w:line="276" w:lineRule="auto"/>
        <w:jc w:val="center"/>
        <w:rPr>
          <w:rFonts w:ascii="Times New Roman" w:hAnsi="Times New Roman"/>
          <w:sz w:val="25"/>
          <w:szCs w:val="25"/>
          <w:lang w:val="sq-AL"/>
        </w:rPr>
      </w:pPr>
      <w:r w:rsidRPr="002631FB">
        <w:rPr>
          <w:rFonts w:ascii="Times New Roman" w:hAnsi="Times New Roman"/>
          <w:sz w:val="25"/>
          <w:szCs w:val="25"/>
          <w:lang w:val="sq-AL"/>
        </w:rPr>
        <w:t>V E N D O S I</w:t>
      </w:r>
    </w:p>
    <w:p w:rsidR="001A6AD8" w:rsidRPr="002631FB" w:rsidRDefault="001A6AD8" w:rsidP="001A6AD8">
      <w:pPr>
        <w:widowControl w:val="0"/>
        <w:spacing w:after="0" w:line="276" w:lineRule="auto"/>
        <w:jc w:val="both"/>
        <w:rPr>
          <w:rFonts w:ascii="Times New Roman" w:hAnsi="Times New Roman"/>
          <w:sz w:val="25"/>
          <w:szCs w:val="25"/>
          <w:lang w:val="sq-AL"/>
        </w:rPr>
      </w:pPr>
    </w:p>
    <w:p w:rsidR="001A6AD8" w:rsidRPr="004E2E65" w:rsidRDefault="001A6AD8" w:rsidP="001A6AD8">
      <w:pPr>
        <w:pStyle w:val="ListParagraph"/>
        <w:widowControl w:val="0"/>
        <w:numPr>
          <w:ilvl w:val="0"/>
          <w:numId w:val="21"/>
        </w:numPr>
        <w:spacing w:after="0" w:line="276" w:lineRule="auto"/>
        <w:jc w:val="both"/>
        <w:rPr>
          <w:rFonts w:ascii="Times New Roman" w:hAnsi="Times New Roman"/>
          <w:sz w:val="25"/>
          <w:szCs w:val="25"/>
          <w:lang w:val="sq-AL"/>
        </w:rPr>
      </w:pPr>
      <w:r w:rsidRPr="004E2E65">
        <w:rPr>
          <w:rFonts w:ascii="Times New Roman" w:hAnsi="Times New Roman"/>
          <w:sz w:val="25"/>
          <w:szCs w:val="25"/>
          <w:lang w:val="sq-AL"/>
        </w:rPr>
        <w:t xml:space="preserve">Refuzimin e ankimit, pasi nuk janë përmbushur kërkesat dhe procedurat </w:t>
      </w:r>
      <w:r w:rsidR="00D56D33">
        <w:rPr>
          <w:rFonts w:ascii="Times New Roman" w:hAnsi="Times New Roman"/>
          <w:sz w:val="25"/>
          <w:szCs w:val="25"/>
          <w:lang w:val="sq-AL"/>
        </w:rPr>
        <w:t>lidhur me paraqitjen e aktit administrativ, objekt i ankimit</w:t>
      </w:r>
      <w:r w:rsidRPr="004E2E65">
        <w:rPr>
          <w:rFonts w:ascii="Times New Roman" w:hAnsi="Times New Roman"/>
          <w:sz w:val="25"/>
          <w:szCs w:val="25"/>
          <w:lang w:val="sq-AL"/>
        </w:rPr>
        <w:t>.</w:t>
      </w:r>
    </w:p>
    <w:p w:rsidR="00A04B1A" w:rsidRPr="00A04B1A" w:rsidRDefault="00A04B1A" w:rsidP="00A2371A">
      <w:pPr>
        <w:widowControl w:val="0"/>
        <w:spacing w:after="0" w:line="240" w:lineRule="auto"/>
        <w:jc w:val="both"/>
        <w:rPr>
          <w:rFonts w:ascii="Times New Roman" w:hAnsi="Times New Roman" w:cs="Times New Roman"/>
          <w:sz w:val="25"/>
          <w:szCs w:val="25"/>
          <w:lang w:val="sq-AL"/>
        </w:rPr>
      </w:pPr>
    </w:p>
    <w:p w:rsidR="00BC1749" w:rsidRDefault="00A04B1A" w:rsidP="007C5C20">
      <w:pPr>
        <w:widowControl w:val="0"/>
        <w:spacing w:after="0" w:line="276" w:lineRule="auto"/>
        <w:jc w:val="both"/>
        <w:rPr>
          <w:rFonts w:ascii="Times New Roman" w:hAnsi="Times New Roman" w:cs="Times New Roman"/>
          <w:sz w:val="25"/>
          <w:szCs w:val="25"/>
          <w:lang w:val="sq-AL"/>
        </w:rPr>
      </w:pPr>
      <w:r w:rsidRPr="00A04B1A">
        <w:rPr>
          <w:rFonts w:ascii="Times New Roman" w:hAnsi="Times New Roman" w:cs="Times New Roman"/>
          <w:sz w:val="25"/>
          <w:szCs w:val="25"/>
          <w:lang w:val="sq-AL"/>
        </w:rPr>
        <w:t xml:space="preserve">Në zbatim të pikës 2 të nenit 109 të Ligjit nr. 9920 datë 19.05.2008, “Për Procedurat </w:t>
      </w:r>
      <w:r w:rsidRPr="00A04B1A">
        <w:rPr>
          <w:rFonts w:ascii="Times New Roman" w:hAnsi="Times New Roman" w:cs="Times New Roman"/>
          <w:sz w:val="25"/>
          <w:szCs w:val="25"/>
          <w:lang w:val="sq-AL"/>
        </w:rPr>
        <w:lastRenderedPageBreak/>
        <w:t xml:space="preserve">Tatimore në R.Sh”, tatimpaguesi mund ta kundërshtojë vendimin e Drejtorisë së Apelimit Tatimor në gjykatë, brenda 30 ditëve kalendarike nga data e marrjes dijeni për këtë vendim. </w:t>
      </w:r>
    </w:p>
    <w:p w:rsidR="00CA2401" w:rsidRDefault="00CA2401" w:rsidP="007C5C20">
      <w:pPr>
        <w:widowControl w:val="0"/>
        <w:spacing w:after="0" w:line="276" w:lineRule="auto"/>
        <w:jc w:val="both"/>
        <w:rPr>
          <w:rFonts w:ascii="Times New Roman" w:hAnsi="Times New Roman" w:cs="Times New Roman"/>
          <w:sz w:val="25"/>
          <w:szCs w:val="25"/>
          <w:lang w:val="sq-AL"/>
        </w:rPr>
      </w:pPr>
    </w:p>
    <w:p w:rsidR="00CA2401" w:rsidRPr="007C793C" w:rsidRDefault="00CA2401" w:rsidP="007C5C20">
      <w:pPr>
        <w:widowControl w:val="0"/>
        <w:spacing w:after="0" w:line="276" w:lineRule="auto"/>
        <w:jc w:val="both"/>
        <w:rPr>
          <w:rFonts w:ascii="Times New Roman" w:hAnsi="Times New Roman" w:cs="Times New Roman"/>
          <w:sz w:val="25"/>
          <w:szCs w:val="25"/>
          <w:lang w:val="sq-AL"/>
        </w:rPr>
      </w:pPr>
    </w:p>
    <w:p w:rsidR="006C7CC9" w:rsidRPr="007C793C" w:rsidRDefault="006C7CC9" w:rsidP="007C5C20">
      <w:pPr>
        <w:widowControl w:val="0"/>
        <w:spacing w:after="0" w:line="276" w:lineRule="auto"/>
        <w:ind w:left="3600" w:firstLine="720"/>
        <w:jc w:val="both"/>
        <w:rPr>
          <w:rFonts w:ascii="Times New Roman" w:hAnsi="Times New Roman" w:cs="Times New Roman"/>
          <w:b/>
          <w:sz w:val="25"/>
          <w:szCs w:val="25"/>
          <w:lang w:val="sq-AL"/>
        </w:rPr>
      </w:pPr>
      <w:r w:rsidRPr="007C793C">
        <w:rPr>
          <w:rFonts w:ascii="Times New Roman" w:hAnsi="Times New Roman" w:cs="Times New Roman"/>
          <w:b/>
          <w:sz w:val="25"/>
          <w:szCs w:val="25"/>
          <w:lang w:val="sq-AL"/>
        </w:rPr>
        <w:t>DREJTOR I APELIMIT TATIMOR</w:t>
      </w:r>
    </w:p>
    <w:p w:rsidR="006C7CC9" w:rsidRPr="007C793C" w:rsidRDefault="006C7CC9" w:rsidP="007C5C20">
      <w:pPr>
        <w:widowControl w:val="0"/>
        <w:spacing w:after="0" w:line="276" w:lineRule="auto"/>
        <w:jc w:val="both"/>
        <w:rPr>
          <w:rFonts w:ascii="Times New Roman" w:hAnsi="Times New Roman" w:cs="Times New Roman"/>
          <w:sz w:val="25"/>
          <w:szCs w:val="25"/>
          <w:lang w:val="sq-AL"/>
        </w:rPr>
      </w:pPr>
    </w:p>
    <w:p w:rsidR="006C7CC9" w:rsidRDefault="006C7CC9" w:rsidP="007C5C20">
      <w:pPr>
        <w:widowControl w:val="0"/>
        <w:spacing w:after="0" w:line="276" w:lineRule="auto"/>
        <w:jc w:val="both"/>
        <w:rPr>
          <w:rFonts w:ascii="Times New Roman" w:hAnsi="Times New Roman" w:cs="Times New Roman"/>
          <w:b/>
          <w:sz w:val="25"/>
          <w:szCs w:val="25"/>
          <w:lang w:val="sq-AL"/>
        </w:rPr>
      </w:pPr>
      <w:r w:rsidRPr="007C793C">
        <w:rPr>
          <w:rFonts w:ascii="Times New Roman" w:hAnsi="Times New Roman" w:cs="Times New Roman"/>
          <w:sz w:val="25"/>
          <w:szCs w:val="25"/>
          <w:lang w:val="sq-AL"/>
        </w:rPr>
        <w:t xml:space="preserve">                                                                        </w:t>
      </w:r>
      <w:r w:rsidRPr="007C793C">
        <w:rPr>
          <w:rFonts w:ascii="Times New Roman" w:hAnsi="Times New Roman" w:cs="Times New Roman"/>
          <w:b/>
          <w:sz w:val="25"/>
          <w:szCs w:val="25"/>
          <w:lang w:val="sq-AL"/>
        </w:rPr>
        <w:t xml:space="preserve">       </w:t>
      </w:r>
      <w:r w:rsidR="00702D21">
        <w:rPr>
          <w:rFonts w:ascii="Times New Roman" w:hAnsi="Times New Roman" w:cs="Times New Roman"/>
          <w:b/>
          <w:sz w:val="25"/>
          <w:szCs w:val="25"/>
          <w:lang w:val="sq-AL"/>
        </w:rPr>
        <w:t xml:space="preserve">   </w:t>
      </w:r>
      <w:bookmarkStart w:id="0" w:name="_GoBack"/>
      <w:bookmarkEnd w:id="0"/>
      <w:r w:rsidRPr="007C793C">
        <w:rPr>
          <w:rFonts w:ascii="Times New Roman" w:hAnsi="Times New Roman" w:cs="Times New Roman"/>
          <w:b/>
          <w:sz w:val="25"/>
          <w:szCs w:val="25"/>
          <w:lang w:val="sq-AL"/>
        </w:rPr>
        <w:t>Mimoza Kalia</w:t>
      </w:r>
    </w:p>
    <w:sectPr w:rsidR="006C7CC9" w:rsidSect="00CA2401">
      <w:footerReference w:type="default" r:id="rId10"/>
      <w:pgSz w:w="11907" w:h="16839" w:code="9"/>
      <w:pgMar w:top="1138" w:right="1440" w:bottom="1138" w:left="1440" w:header="70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3A5" w:rsidRDefault="001603A5" w:rsidP="006725DD">
      <w:pPr>
        <w:spacing w:after="0" w:line="240" w:lineRule="auto"/>
      </w:pPr>
      <w:r>
        <w:separator/>
      </w:r>
    </w:p>
  </w:endnote>
  <w:endnote w:type="continuationSeparator" w:id="0">
    <w:p w:rsidR="001603A5" w:rsidRDefault="001603A5" w:rsidP="0067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9A3" w:rsidRPr="006725DD" w:rsidRDefault="006C39A3" w:rsidP="006725DD">
    <w:pPr>
      <w:pStyle w:val="Footer"/>
      <w:pBdr>
        <w:top w:val="single" w:sz="4" w:space="8" w:color="5B9BD5" w:themeColor="accent1"/>
      </w:pBdr>
      <w:tabs>
        <w:tab w:val="clear" w:pos="4680"/>
        <w:tab w:val="clear" w:pos="9360"/>
      </w:tabs>
      <w:spacing w:before="360"/>
      <w:contextualSpacing/>
      <w:jc w:val="center"/>
      <w:rPr>
        <w:rFonts w:ascii="Times New Roman" w:hAnsi="Times New Roman" w:cs="Times New Roman"/>
        <w:noProof/>
        <w:color w:val="404040" w:themeColor="text1" w:themeTint="BF"/>
      </w:rPr>
    </w:pPr>
    <w:r w:rsidRPr="006725DD">
      <w:rPr>
        <w:rFonts w:ascii="Times New Roman" w:hAnsi="Times New Roman" w:cs="Times New Roman"/>
        <w:noProof/>
        <w:color w:val="404040" w:themeColor="text1" w:themeTint="BF"/>
      </w:rPr>
      <w:t xml:space="preserve">Bulevardi “Dëshmorët e Kombit”, nr. 3, </w:t>
    </w:r>
    <w:hyperlink r:id="rId1" w:history="1">
      <w:r w:rsidRPr="006725DD">
        <w:rPr>
          <w:rStyle w:val="Hyperlink"/>
          <w:rFonts w:ascii="Times New Roman" w:hAnsi="Times New Roman" w:cs="Times New Roman"/>
          <w:noProof/>
        </w:rPr>
        <w:t>www.financa.gov.al</w:t>
      </w:r>
    </w:hyperlink>
    <w:r w:rsidRPr="006725DD">
      <w:rPr>
        <w:rFonts w:ascii="Times New Roman" w:hAnsi="Times New Roman" w:cs="Times New Roman"/>
        <w:noProof/>
        <w:color w:val="404040" w:themeColor="text1" w:themeTint="BF"/>
      </w:rPr>
      <w:t xml:space="preserve">, </w:t>
    </w:r>
    <w:hyperlink r:id="rId2" w:history="1">
      <w:r w:rsidRPr="006725DD">
        <w:rPr>
          <w:rStyle w:val="Hyperlink"/>
          <w:rFonts w:ascii="Times New Roman" w:hAnsi="Times New Roman" w:cs="Times New Roman"/>
          <w:noProof/>
        </w:rPr>
        <w:t>info@financa.gov.al</w:t>
      </w:r>
    </w:hyperlink>
    <w:r w:rsidRPr="006725DD">
      <w:rPr>
        <w:rFonts w:ascii="Times New Roman" w:hAnsi="Times New Roman" w:cs="Times New Roman"/>
        <w:noProof/>
        <w:color w:val="404040" w:themeColor="text1" w:themeTint="BF"/>
      </w:rPr>
      <w:t xml:space="preserve">                </w:t>
    </w:r>
    <w:r w:rsidRPr="006725DD">
      <w:rPr>
        <w:rFonts w:ascii="Times New Roman" w:hAnsi="Times New Roman" w:cs="Times New Roman"/>
        <w:noProof/>
        <w:color w:val="404040" w:themeColor="text1" w:themeTint="BF"/>
      </w:rPr>
      <w:fldChar w:fldCharType="begin"/>
    </w:r>
    <w:r w:rsidRPr="006725DD">
      <w:rPr>
        <w:rFonts w:ascii="Times New Roman" w:hAnsi="Times New Roman" w:cs="Times New Roman"/>
        <w:noProof/>
        <w:color w:val="404040" w:themeColor="text1" w:themeTint="BF"/>
      </w:rPr>
      <w:instrText xml:space="preserve"> PAGE   \* MERGEFORMAT </w:instrText>
    </w:r>
    <w:r w:rsidRPr="006725DD">
      <w:rPr>
        <w:rFonts w:ascii="Times New Roman" w:hAnsi="Times New Roman" w:cs="Times New Roman"/>
        <w:noProof/>
        <w:color w:val="404040" w:themeColor="text1" w:themeTint="BF"/>
      </w:rPr>
      <w:fldChar w:fldCharType="separate"/>
    </w:r>
    <w:r w:rsidR="00702D21">
      <w:rPr>
        <w:rFonts w:ascii="Times New Roman" w:hAnsi="Times New Roman" w:cs="Times New Roman"/>
        <w:noProof/>
        <w:color w:val="404040" w:themeColor="text1" w:themeTint="BF"/>
      </w:rPr>
      <w:t>3</w:t>
    </w:r>
    <w:r w:rsidRPr="006725DD">
      <w:rPr>
        <w:rFonts w:ascii="Times New Roman" w:hAnsi="Times New Roman" w:cs="Times New Roman"/>
        <w:noProof/>
        <w:color w:val="404040" w:themeColor="text1" w:themeTint="BF"/>
      </w:rPr>
      <w:fldChar w:fldCharType="end"/>
    </w:r>
  </w:p>
  <w:p w:rsidR="006C39A3" w:rsidRDefault="006C3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3A5" w:rsidRDefault="001603A5" w:rsidP="006725DD">
      <w:pPr>
        <w:spacing w:after="0" w:line="240" w:lineRule="auto"/>
      </w:pPr>
      <w:r>
        <w:separator/>
      </w:r>
    </w:p>
  </w:footnote>
  <w:footnote w:type="continuationSeparator" w:id="0">
    <w:p w:rsidR="001603A5" w:rsidRDefault="001603A5" w:rsidP="00672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AF0"/>
    <w:multiLevelType w:val="hybridMultilevel"/>
    <w:tmpl w:val="7EAE4AC2"/>
    <w:lvl w:ilvl="0" w:tplc="92F441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317D2"/>
    <w:multiLevelType w:val="hybridMultilevel"/>
    <w:tmpl w:val="34A2A1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56CC3"/>
    <w:multiLevelType w:val="hybridMultilevel"/>
    <w:tmpl w:val="289A0D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12EBF"/>
    <w:multiLevelType w:val="hybridMultilevel"/>
    <w:tmpl w:val="3754F1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36994"/>
    <w:multiLevelType w:val="hybridMultilevel"/>
    <w:tmpl w:val="61627F9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A7A7465"/>
    <w:multiLevelType w:val="hybridMultilevel"/>
    <w:tmpl w:val="42A052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8F36C7"/>
    <w:multiLevelType w:val="hybridMultilevel"/>
    <w:tmpl w:val="6AFE1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62B49"/>
    <w:multiLevelType w:val="hybridMultilevel"/>
    <w:tmpl w:val="79A660F2"/>
    <w:lvl w:ilvl="0" w:tplc="0409000B">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8FF4383"/>
    <w:multiLevelType w:val="hybridMultilevel"/>
    <w:tmpl w:val="7E46C69E"/>
    <w:lvl w:ilvl="0" w:tplc="9C726A8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00606"/>
    <w:multiLevelType w:val="hybridMultilevel"/>
    <w:tmpl w:val="AE102612"/>
    <w:lvl w:ilvl="0" w:tplc="9C726A8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FA7A03"/>
    <w:multiLevelType w:val="hybridMultilevel"/>
    <w:tmpl w:val="4314EA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E6B4518"/>
    <w:multiLevelType w:val="hybridMultilevel"/>
    <w:tmpl w:val="B7A00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4F4713"/>
    <w:multiLevelType w:val="hybridMultilevel"/>
    <w:tmpl w:val="3878CBC8"/>
    <w:lvl w:ilvl="0" w:tplc="062AC35C">
      <w:start w:val="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F07072"/>
    <w:multiLevelType w:val="hybridMultilevel"/>
    <w:tmpl w:val="AB2435D6"/>
    <w:lvl w:ilvl="0" w:tplc="F90015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E443AA"/>
    <w:multiLevelType w:val="hybridMultilevel"/>
    <w:tmpl w:val="2C448C8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8F8103F"/>
    <w:multiLevelType w:val="hybridMultilevel"/>
    <w:tmpl w:val="09102E30"/>
    <w:lvl w:ilvl="0" w:tplc="502AC57E">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1C5142"/>
    <w:multiLevelType w:val="hybridMultilevel"/>
    <w:tmpl w:val="5366CCA8"/>
    <w:lvl w:ilvl="0" w:tplc="608AEE8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544B15B5"/>
    <w:multiLevelType w:val="hybridMultilevel"/>
    <w:tmpl w:val="28B4DC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E819DF"/>
    <w:multiLevelType w:val="hybridMultilevel"/>
    <w:tmpl w:val="747A0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DB7C45"/>
    <w:multiLevelType w:val="hybridMultilevel"/>
    <w:tmpl w:val="9BA22958"/>
    <w:lvl w:ilvl="0" w:tplc="3DC4E9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1A74B2"/>
    <w:multiLevelType w:val="hybridMultilevel"/>
    <w:tmpl w:val="D0E09DB0"/>
    <w:lvl w:ilvl="0" w:tplc="0409000B">
      <w:start w:val="1"/>
      <w:numFmt w:val="bullet"/>
      <w:lvlText w:val=""/>
      <w:lvlJc w:val="left"/>
      <w:pPr>
        <w:tabs>
          <w:tab w:val="num" w:pos="630"/>
        </w:tabs>
        <w:ind w:left="63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9397F43"/>
    <w:multiLevelType w:val="hybridMultilevel"/>
    <w:tmpl w:val="17FC6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ED76BB6"/>
    <w:multiLevelType w:val="hybridMultilevel"/>
    <w:tmpl w:val="F38E1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F11BBE"/>
    <w:multiLevelType w:val="hybridMultilevel"/>
    <w:tmpl w:val="1A046DCA"/>
    <w:lvl w:ilvl="0" w:tplc="C2CECA4A">
      <w:start w:val="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324922"/>
    <w:multiLevelType w:val="hybridMultilevel"/>
    <w:tmpl w:val="D4542C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864A58"/>
    <w:multiLevelType w:val="hybridMultilevel"/>
    <w:tmpl w:val="C2C474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8"/>
  </w:num>
  <w:num w:numId="4">
    <w:abstractNumId w:val="20"/>
  </w:num>
  <w:num w:numId="5">
    <w:abstractNumId w:val="2"/>
  </w:num>
  <w:num w:numId="6">
    <w:abstractNumId w:val="14"/>
  </w:num>
  <w:num w:numId="7">
    <w:abstractNumId w:val="23"/>
  </w:num>
  <w:num w:numId="8">
    <w:abstractNumId w:val="22"/>
  </w:num>
  <w:num w:numId="9">
    <w:abstractNumId w:val="6"/>
  </w:num>
  <w:num w:numId="10">
    <w:abstractNumId w:val="25"/>
  </w:num>
  <w:num w:numId="11">
    <w:abstractNumId w:val="5"/>
  </w:num>
  <w:num w:numId="12">
    <w:abstractNumId w:val="7"/>
  </w:num>
  <w:num w:numId="13">
    <w:abstractNumId w:val="4"/>
  </w:num>
  <w:num w:numId="14">
    <w:abstractNumId w:val="16"/>
  </w:num>
  <w:num w:numId="15">
    <w:abstractNumId w:val="0"/>
  </w:num>
  <w:num w:numId="16">
    <w:abstractNumId w:val="8"/>
  </w:num>
  <w:num w:numId="17">
    <w:abstractNumId w:val="9"/>
  </w:num>
  <w:num w:numId="18">
    <w:abstractNumId w:val="21"/>
  </w:num>
  <w:num w:numId="19">
    <w:abstractNumId w:val="19"/>
  </w:num>
  <w:num w:numId="20">
    <w:abstractNumId w:val="10"/>
  </w:num>
  <w:num w:numId="21">
    <w:abstractNumId w:val="3"/>
  </w:num>
  <w:num w:numId="22">
    <w:abstractNumId w:val="12"/>
  </w:num>
  <w:num w:numId="23">
    <w:abstractNumId w:val="17"/>
  </w:num>
  <w:num w:numId="24">
    <w:abstractNumId w:val="24"/>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51"/>
    <w:rsid w:val="000045A5"/>
    <w:rsid w:val="00006BB2"/>
    <w:rsid w:val="000109E4"/>
    <w:rsid w:val="000121DE"/>
    <w:rsid w:val="00016CE1"/>
    <w:rsid w:val="00024426"/>
    <w:rsid w:val="00025475"/>
    <w:rsid w:val="00043634"/>
    <w:rsid w:val="00044CA5"/>
    <w:rsid w:val="00045C58"/>
    <w:rsid w:val="00046459"/>
    <w:rsid w:val="000472C3"/>
    <w:rsid w:val="000671FE"/>
    <w:rsid w:val="00070BF3"/>
    <w:rsid w:val="00070DFB"/>
    <w:rsid w:val="00075A4A"/>
    <w:rsid w:val="00076FE1"/>
    <w:rsid w:val="000A7590"/>
    <w:rsid w:val="000A7C2E"/>
    <w:rsid w:val="000B3051"/>
    <w:rsid w:val="000B64A4"/>
    <w:rsid w:val="000B6B52"/>
    <w:rsid w:val="000C2087"/>
    <w:rsid w:val="000D3218"/>
    <w:rsid w:val="000D5F2B"/>
    <w:rsid w:val="000E1781"/>
    <w:rsid w:val="000E6E90"/>
    <w:rsid w:val="000F355F"/>
    <w:rsid w:val="000F3E2D"/>
    <w:rsid w:val="000F4309"/>
    <w:rsid w:val="000F58CC"/>
    <w:rsid w:val="000F7D24"/>
    <w:rsid w:val="001016CC"/>
    <w:rsid w:val="0010209D"/>
    <w:rsid w:val="0010479B"/>
    <w:rsid w:val="001108B7"/>
    <w:rsid w:val="00110D60"/>
    <w:rsid w:val="00116058"/>
    <w:rsid w:val="00121A4B"/>
    <w:rsid w:val="00130DD1"/>
    <w:rsid w:val="001333F7"/>
    <w:rsid w:val="001369EF"/>
    <w:rsid w:val="00137B14"/>
    <w:rsid w:val="001411F6"/>
    <w:rsid w:val="00147A27"/>
    <w:rsid w:val="00150B96"/>
    <w:rsid w:val="0015343A"/>
    <w:rsid w:val="0015591C"/>
    <w:rsid w:val="001570F0"/>
    <w:rsid w:val="001603A5"/>
    <w:rsid w:val="0016625C"/>
    <w:rsid w:val="00173903"/>
    <w:rsid w:val="001855B4"/>
    <w:rsid w:val="00193995"/>
    <w:rsid w:val="001971B6"/>
    <w:rsid w:val="001A3EA2"/>
    <w:rsid w:val="001A6AD8"/>
    <w:rsid w:val="001A6F87"/>
    <w:rsid w:val="001B66C9"/>
    <w:rsid w:val="001C1AB3"/>
    <w:rsid w:val="001D1C1A"/>
    <w:rsid w:val="001D4A4B"/>
    <w:rsid w:val="001D61EC"/>
    <w:rsid w:val="001E0DCC"/>
    <w:rsid w:val="001E3F3A"/>
    <w:rsid w:val="001F25E1"/>
    <w:rsid w:val="001F68B2"/>
    <w:rsid w:val="00202AD7"/>
    <w:rsid w:val="00205094"/>
    <w:rsid w:val="00206FB6"/>
    <w:rsid w:val="002128A3"/>
    <w:rsid w:val="002137BD"/>
    <w:rsid w:val="00226A1F"/>
    <w:rsid w:val="00230104"/>
    <w:rsid w:val="00232587"/>
    <w:rsid w:val="00232F76"/>
    <w:rsid w:val="00233F41"/>
    <w:rsid w:val="0023413F"/>
    <w:rsid w:val="00236822"/>
    <w:rsid w:val="002402F7"/>
    <w:rsid w:val="00241705"/>
    <w:rsid w:val="002509FD"/>
    <w:rsid w:val="00252A71"/>
    <w:rsid w:val="002543C1"/>
    <w:rsid w:val="00254AF8"/>
    <w:rsid w:val="00257813"/>
    <w:rsid w:val="002631FB"/>
    <w:rsid w:val="0026622E"/>
    <w:rsid w:val="0027146F"/>
    <w:rsid w:val="00285C62"/>
    <w:rsid w:val="00285D28"/>
    <w:rsid w:val="00290962"/>
    <w:rsid w:val="00291F20"/>
    <w:rsid w:val="00292587"/>
    <w:rsid w:val="00294418"/>
    <w:rsid w:val="002A2F2B"/>
    <w:rsid w:val="002A59A6"/>
    <w:rsid w:val="002C60DA"/>
    <w:rsid w:val="002D470B"/>
    <w:rsid w:val="002D4B75"/>
    <w:rsid w:val="002D5467"/>
    <w:rsid w:val="002D5ADD"/>
    <w:rsid w:val="002E0C9E"/>
    <w:rsid w:val="002E0CF4"/>
    <w:rsid w:val="002F13AE"/>
    <w:rsid w:val="002F4F37"/>
    <w:rsid w:val="002F6BAA"/>
    <w:rsid w:val="0030086E"/>
    <w:rsid w:val="003039F7"/>
    <w:rsid w:val="00306462"/>
    <w:rsid w:val="0032031E"/>
    <w:rsid w:val="00324694"/>
    <w:rsid w:val="00324876"/>
    <w:rsid w:val="00326A91"/>
    <w:rsid w:val="00340DD3"/>
    <w:rsid w:val="003425AB"/>
    <w:rsid w:val="00345E92"/>
    <w:rsid w:val="00346FFE"/>
    <w:rsid w:val="003535EF"/>
    <w:rsid w:val="003543A5"/>
    <w:rsid w:val="003576D2"/>
    <w:rsid w:val="0036079E"/>
    <w:rsid w:val="0036364B"/>
    <w:rsid w:val="00363700"/>
    <w:rsid w:val="00364616"/>
    <w:rsid w:val="00364E56"/>
    <w:rsid w:val="003759FB"/>
    <w:rsid w:val="0037715C"/>
    <w:rsid w:val="00386C38"/>
    <w:rsid w:val="00390549"/>
    <w:rsid w:val="00392519"/>
    <w:rsid w:val="00395803"/>
    <w:rsid w:val="00397309"/>
    <w:rsid w:val="003A2006"/>
    <w:rsid w:val="003B1CDD"/>
    <w:rsid w:val="003B34F3"/>
    <w:rsid w:val="003B38F0"/>
    <w:rsid w:val="003C5757"/>
    <w:rsid w:val="003C6302"/>
    <w:rsid w:val="003C6D7D"/>
    <w:rsid w:val="003D3808"/>
    <w:rsid w:val="003D4AAF"/>
    <w:rsid w:val="003E294B"/>
    <w:rsid w:val="003E4898"/>
    <w:rsid w:val="003E7545"/>
    <w:rsid w:val="00400B77"/>
    <w:rsid w:val="00405B98"/>
    <w:rsid w:val="004109D2"/>
    <w:rsid w:val="00413A15"/>
    <w:rsid w:val="0041603F"/>
    <w:rsid w:val="00420434"/>
    <w:rsid w:val="004227CC"/>
    <w:rsid w:val="00431090"/>
    <w:rsid w:val="004453F7"/>
    <w:rsid w:val="00445538"/>
    <w:rsid w:val="00445A6F"/>
    <w:rsid w:val="00445B1C"/>
    <w:rsid w:val="00453C26"/>
    <w:rsid w:val="00455067"/>
    <w:rsid w:val="00455390"/>
    <w:rsid w:val="00456C02"/>
    <w:rsid w:val="004574BC"/>
    <w:rsid w:val="00463711"/>
    <w:rsid w:val="00465E89"/>
    <w:rsid w:val="004705FD"/>
    <w:rsid w:val="004829A6"/>
    <w:rsid w:val="0049180F"/>
    <w:rsid w:val="004963D1"/>
    <w:rsid w:val="004B0CD3"/>
    <w:rsid w:val="004B2B67"/>
    <w:rsid w:val="004C2747"/>
    <w:rsid w:val="004C356F"/>
    <w:rsid w:val="004C594F"/>
    <w:rsid w:val="004C599E"/>
    <w:rsid w:val="004D0465"/>
    <w:rsid w:val="004D35FC"/>
    <w:rsid w:val="004E1272"/>
    <w:rsid w:val="004E298F"/>
    <w:rsid w:val="004E2E65"/>
    <w:rsid w:val="004F0951"/>
    <w:rsid w:val="004F4F87"/>
    <w:rsid w:val="00507A25"/>
    <w:rsid w:val="00511BDA"/>
    <w:rsid w:val="00512382"/>
    <w:rsid w:val="00517051"/>
    <w:rsid w:val="0052646F"/>
    <w:rsid w:val="00527414"/>
    <w:rsid w:val="005317A4"/>
    <w:rsid w:val="00532C7E"/>
    <w:rsid w:val="00540ED4"/>
    <w:rsid w:val="00547B0C"/>
    <w:rsid w:val="00556F9C"/>
    <w:rsid w:val="005607CA"/>
    <w:rsid w:val="00573D94"/>
    <w:rsid w:val="005773EA"/>
    <w:rsid w:val="00586CD0"/>
    <w:rsid w:val="005914DB"/>
    <w:rsid w:val="00597ADD"/>
    <w:rsid w:val="005B30BC"/>
    <w:rsid w:val="005B6C70"/>
    <w:rsid w:val="005B76CB"/>
    <w:rsid w:val="005C24B3"/>
    <w:rsid w:val="005C5E98"/>
    <w:rsid w:val="005C601B"/>
    <w:rsid w:val="005D0672"/>
    <w:rsid w:val="005D4586"/>
    <w:rsid w:val="005D6A31"/>
    <w:rsid w:val="005D70C0"/>
    <w:rsid w:val="005E1051"/>
    <w:rsid w:val="005E2177"/>
    <w:rsid w:val="005E72DE"/>
    <w:rsid w:val="005F35EC"/>
    <w:rsid w:val="006010DA"/>
    <w:rsid w:val="00603C51"/>
    <w:rsid w:val="0060503F"/>
    <w:rsid w:val="00612301"/>
    <w:rsid w:val="00613803"/>
    <w:rsid w:val="00630580"/>
    <w:rsid w:val="00630A2E"/>
    <w:rsid w:val="0063543E"/>
    <w:rsid w:val="006368C7"/>
    <w:rsid w:val="006406C9"/>
    <w:rsid w:val="0065187A"/>
    <w:rsid w:val="00652565"/>
    <w:rsid w:val="00656F08"/>
    <w:rsid w:val="006651A0"/>
    <w:rsid w:val="006725DD"/>
    <w:rsid w:val="00674C43"/>
    <w:rsid w:val="00684771"/>
    <w:rsid w:val="0068699B"/>
    <w:rsid w:val="006A226E"/>
    <w:rsid w:val="006B0659"/>
    <w:rsid w:val="006C0ABC"/>
    <w:rsid w:val="006C39A3"/>
    <w:rsid w:val="006C6398"/>
    <w:rsid w:val="006C7CC9"/>
    <w:rsid w:val="006C7E0F"/>
    <w:rsid w:val="006C7EDA"/>
    <w:rsid w:val="006D0010"/>
    <w:rsid w:val="006D130B"/>
    <w:rsid w:val="006D1B30"/>
    <w:rsid w:val="006D72F7"/>
    <w:rsid w:val="006E2121"/>
    <w:rsid w:val="006E59C3"/>
    <w:rsid w:val="006F1A54"/>
    <w:rsid w:val="006F4F27"/>
    <w:rsid w:val="00702D21"/>
    <w:rsid w:val="0070609E"/>
    <w:rsid w:val="007108A2"/>
    <w:rsid w:val="00712BEE"/>
    <w:rsid w:val="00713A30"/>
    <w:rsid w:val="00721030"/>
    <w:rsid w:val="0072133F"/>
    <w:rsid w:val="00726391"/>
    <w:rsid w:val="00736559"/>
    <w:rsid w:val="00752A57"/>
    <w:rsid w:val="00754B3F"/>
    <w:rsid w:val="00760697"/>
    <w:rsid w:val="007632A8"/>
    <w:rsid w:val="00783F49"/>
    <w:rsid w:val="007861BF"/>
    <w:rsid w:val="00792C73"/>
    <w:rsid w:val="007A0EBC"/>
    <w:rsid w:val="007A1059"/>
    <w:rsid w:val="007A1EDC"/>
    <w:rsid w:val="007A3BC5"/>
    <w:rsid w:val="007A704C"/>
    <w:rsid w:val="007C3211"/>
    <w:rsid w:val="007C5C20"/>
    <w:rsid w:val="007C793C"/>
    <w:rsid w:val="007D4372"/>
    <w:rsid w:val="007D4751"/>
    <w:rsid w:val="007D6DFA"/>
    <w:rsid w:val="007D712E"/>
    <w:rsid w:val="007E230A"/>
    <w:rsid w:val="007E261C"/>
    <w:rsid w:val="007E4CAE"/>
    <w:rsid w:val="007E6D5E"/>
    <w:rsid w:val="007F14FD"/>
    <w:rsid w:val="007F32E9"/>
    <w:rsid w:val="00802BB2"/>
    <w:rsid w:val="008076BE"/>
    <w:rsid w:val="00810948"/>
    <w:rsid w:val="0081402F"/>
    <w:rsid w:val="00817F94"/>
    <w:rsid w:val="008277F3"/>
    <w:rsid w:val="00832126"/>
    <w:rsid w:val="00835EBF"/>
    <w:rsid w:val="008439C6"/>
    <w:rsid w:val="008448A9"/>
    <w:rsid w:val="00855F4C"/>
    <w:rsid w:val="00862F48"/>
    <w:rsid w:val="00871DFB"/>
    <w:rsid w:val="00886D7A"/>
    <w:rsid w:val="00895F43"/>
    <w:rsid w:val="008A10A5"/>
    <w:rsid w:val="008A1F4B"/>
    <w:rsid w:val="008A76EF"/>
    <w:rsid w:val="008A7AE0"/>
    <w:rsid w:val="008B0930"/>
    <w:rsid w:val="008B451E"/>
    <w:rsid w:val="008C74DE"/>
    <w:rsid w:val="008D041E"/>
    <w:rsid w:val="008D2DF9"/>
    <w:rsid w:val="008D4D09"/>
    <w:rsid w:val="008D607C"/>
    <w:rsid w:val="008D60F2"/>
    <w:rsid w:val="008D6DB8"/>
    <w:rsid w:val="008D7153"/>
    <w:rsid w:val="008D7230"/>
    <w:rsid w:val="008E5993"/>
    <w:rsid w:val="008E7D50"/>
    <w:rsid w:val="008F4A4C"/>
    <w:rsid w:val="00906B69"/>
    <w:rsid w:val="0091313C"/>
    <w:rsid w:val="00915FED"/>
    <w:rsid w:val="0092338C"/>
    <w:rsid w:val="009243A6"/>
    <w:rsid w:val="00932221"/>
    <w:rsid w:val="00933CF1"/>
    <w:rsid w:val="00944FE1"/>
    <w:rsid w:val="009535F6"/>
    <w:rsid w:val="00953D4C"/>
    <w:rsid w:val="00965237"/>
    <w:rsid w:val="00966380"/>
    <w:rsid w:val="00972D0C"/>
    <w:rsid w:val="00973C88"/>
    <w:rsid w:val="009826C6"/>
    <w:rsid w:val="009830E1"/>
    <w:rsid w:val="009853BB"/>
    <w:rsid w:val="009911E5"/>
    <w:rsid w:val="00994ED2"/>
    <w:rsid w:val="009969D9"/>
    <w:rsid w:val="009A09B2"/>
    <w:rsid w:val="009A2DDD"/>
    <w:rsid w:val="009A2F6B"/>
    <w:rsid w:val="009A3397"/>
    <w:rsid w:val="009A5B95"/>
    <w:rsid w:val="009B5A0A"/>
    <w:rsid w:val="009D1B28"/>
    <w:rsid w:val="009E4A49"/>
    <w:rsid w:val="009E566E"/>
    <w:rsid w:val="009E6032"/>
    <w:rsid w:val="009F2DBB"/>
    <w:rsid w:val="009F4FBD"/>
    <w:rsid w:val="009F5E38"/>
    <w:rsid w:val="00A01627"/>
    <w:rsid w:val="00A04B1A"/>
    <w:rsid w:val="00A0579A"/>
    <w:rsid w:val="00A1160C"/>
    <w:rsid w:val="00A1458E"/>
    <w:rsid w:val="00A20D4D"/>
    <w:rsid w:val="00A22B9B"/>
    <w:rsid w:val="00A2371A"/>
    <w:rsid w:val="00A37D58"/>
    <w:rsid w:val="00A46281"/>
    <w:rsid w:val="00A46928"/>
    <w:rsid w:val="00A507F7"/>
    <w:rsid w:val="00A82096"/>
    <w:rsid w:val="00A908C6"/>
    <w:rsid w:val="00A9669B"/>
    <w:rsid w:val="00AA3A25"/>
    <w:rsid w:val="00AA5239"/>
    <w:rsid w:val="00AA70DD"/>
    <w:rsid w:val="00AA7CAD"/>
    <w:rsid w:val="00AB4C75"/>
    <w:rsid w:val="00AB6906"/>
    <w:rsid w:val="00AB6DD0"/>
    <w:rsid w:val="00AC237C"/>
    <w:rsid w:val="00AC35FA"/>
    <w:rsid w:val="00AD577B"/>
    <w:rsid w:val="00AD5C0F"/>
    <w:rsid w:val="00AE38DC"/>
    <w:rsid w:val="00AF1ECB"/>
    <w:rsid w:val="00AF21ED"/>
    <w:rsid w:val="00AF2F0E"/>
    <w:rsid w:val="00B0164D"/>
    <w:rsid w:val="00B04BBF"/>
    <w:rsid w:val="00B055AE"/>
    <w:rsid w:val="00B1348F"/>
    <w:rsid w:val="00B14A8F"/>
    <w:rsid w:val="00B218C3"/>
    <w:rsid w:val="00B25D69"/>
    <w:rsid w:val="00B31E65"/>
    <w:rsid w:val="00B35094"/>
    <w:rsid w:val="00B37354"/>
    <w:rsid w:val="00B4032C"/>
    <w:rsid w:val="00B42E12"/>
    <w:rsid w:val="00B4635B"/>
    <w:rsid w:val="00B47AF9"/>
    <w:rsid w:val="00B525CD"/>
    <w:rsid w:val="00B538EC"/>
    <w:rsid w:val="00B60B35"/>
    <w:rsid w:val="00B6418A"/>
    <w:rsid w:val="00B72D49"/>
    <w:rsid w:val="00B750AD"/>
    <w:rsid w:val="00B768F8"/>
    <w:rsid w:val="00B80FC0"/>
    <w:rsid w:val="00B942D3"/>
    <w:rsid w:val="00B97AE3"/>
    <w:rsid w:val="00BA08CC"/>
    <w:rsid w:val="00BC1749"/>
    <w:rsid w:val="00BC46F0"/>
    <w:rsid w:val="00BC4786"/>
    <w:rsid w:val="00BD3AF4"/>
    <w:rsid w:val="00BD47A0"/>
    <w:rsid w:val="00BD4DE0"/>
    <w:rsid w:val="00BE2497"/>
    <w:rsid w:val="00BE29C4"/>
    <w:rsid w:val="00BF287A"/>
    <w:rsid w:val="00C035DA"/>
    <w:rsid w:val="00C04B19"/>
    <w:rsid w:val="00C12BE3"/>
    <w:rsid w:val="00C15311"/>
    <w:rsid w:val="00C16851"/>
    <w:rsid w:val="00C20A4B"/>
    <w:rsid w:val="00C245A9"/>
    <w:rsid w:val="00C30548"/>
    <w:rsid w:val="00C326A9"/>
    <w:rsid w:val="00C34959"/>
    <w:rsid w:val="00C364C0"/>
    <w:rsid w:val="00C40B9D"/>
    <w:rsid w:val="00C42172"/>
    <w:rsid w:val="00C431BC"/>
    <w:rsid w:val="00C43C69"/>
    <w:rsid w:val="00C46BB0"/>
    <w:rsid w:val="00C551A3"/>
    <w:rsid w:val="00C57DBA"/>
    <w:rsid w:val="00C610EB"/>
    <w:rsid w:val="00C62507"/>
    <w:rsid w:val="00C820F4"/>
    <w:rsid w:val="00C870B0"/>
    <w:rsid w:val="00C9361F"/>
    <w:rsid w:val="00CA2401"/>
    <w:rsid w:val="00CA4252"/>
    <w:rsid w:val="00CA7778"/>
    <w:rsid w:val="00CB04DF"/>
    <w:rsid w:val="00CB4626"/>
    <w:rsid w:val="00CC2C5C"/>
    <w:rsid w:val="00CC3366"/>
    <w:rsid w:val="00CD35C5"/>
    <w:rsid w:val="00CD5AD7"/>
    <w:rsid w:val="00CD77AC"/>
    <w:rsid w:val="00CE4096"/>
    <w:rsid w:val="00CF4388"/>
    <w:rsid w:val="00D00E02"/>
    <w:rsid w:val="00D02DE2"/>
    <w:rsid w:val="00D0784F"/>
    <w:rsid w:val="00D172F8"/>
    <w:rsid w:val="00D22D4F"/>
    <w:rsid w:val="00D23509"/>
    <w:rsid w:val="00D2399F"/>
    <w:rsid w:val="00D27492"/>
    <w:rsid w:val="00D35781"/>
    <w:rsid w:val="00D3647E"/>
    <w:rsid w:val="00D4543D"/>
    <w:rsid w:val="00D5036E"/>
    <w:rsid w:val="00D56D33"/>
    <w:rsid w:val="00D56FDB"/>
    <w:rsid w:val="00D60CD2"/>
    <w:rsid w:val="00D63202"/>
    <w:rsid w:val="00D73F11"/>
    <w:rsid w:val="00D7771A"/>
    <w:rsid w:val="00D81D37"/>
    <w:rsid w:val="00D853B5"/>
    <w:rsid w:val="00D92B50"/>
    <w:rsid w:val="00D93310"/>
    <w:rsid w:val="00DA1ACE"/>
    <w:rsid w:val="00DB2375"/>
    <w:rsid w:val="00DB257C"/>
    <w:rsid w:val="00DB296F"/>
    <w:rsid w:val="00DB2B3B"/>
    <w:rsid w:val="00DC3127"/>
    <w:rsid w:val="00DC3C9E"/>
    <w:rsid w:val="00DC45BF"/>
    <w:rsid w:val="00DC61B1"/>
    <w:rsid w:val="00DE155C"/>
    <w:rsid w:val="00DE2984"/>
    <w:rsid w:val="00DE543C"/>
    <w:rsid w:val="00DF32B2"/>
    <w:rsid w:val="00E10DDA"/>
    <w:rsid w:val="00E15836"/>
    <w:rsid w:val="00E20F5F"/>
    <w:rsid w:val="00E2103E"/>
    <w:rsid w:val="00E22786"/>
    <w:rsid w:val="00E27CC0"/>
    <w:rsid w:val="00E40052"/>
    <w:rsid w:val="00E42562"/>
    <w:rsid w:val="00E4500F"/>
    <w:rsid w:val="00E561CA"/>
    <w:rsid w:val="00E5790F"/>
    <w:rsid w:val="00E67A82"/>
    <w:rsid w:val="00E712F7"/>
    <w:rsid w:val="00E8548F"/>
    <w:rsid w:val="00E86678"/>
    <w:rsid w:val="00E90A82"/>
    <w:rsid w:val="00EA3D08"/>
    <w:rsid w:val="00EB2F3E"/>
    <w:rsid w:val="00EC1357"/>
    <w:rsid w:val="00EC5B14"/>
    <w:rsid w:val="00EC7062"/>
    <w:rsid w:val="00ED0BC5"/>
    <w:rsid w:val="00ED20AB"/>
    <w:rsid w:val="00EE078F"/>
    <w:rsid w:val="00EF1853"/>
    <w:rsid w:val="00EF7002"/>
    <w:rsid w:val="00F03EEA"/>
    <w:rsid w:val="00F20E35"/>
    <w:rsid w:val="00F222E1"/>
    <w:rsid w:val="00F27DC2"/>
    <w:rsid w:val="00F326D8"/>
    <w:rsid w:val="00F4064C"/>
    <w:rsid w:val="00F40F3B"/>
    <w:rsid w:val="00F46ADC"/>
    <w:rsid w:val="00F53A30"/>
    <w:rsid w:val="00F56131"/>
    <w:rsid w:val="00F56C44"/>
    <w:rsid w:val="00F644A8"/>
    <w:rsid w:val="00F670F8"/>
    <w:rsid w:val="00F84238"/>
    <w:rsid w:val="00F8433C"/>
    <w:rsid w:val="00F94966"/>
    <w:rsid w:val="00FA24A6"/>
    <w:rsid w:val="00FB29EE"/>
    <w:rsid w:val="00FB2ABF"/>
    <w:rsid w:val="00FB7717"/>
    <w:rsid w:val="00FC6DB3"/>
    <w:rsid w:val="00FD0962"/>
    <w:rsid w:val="00FE05B4"/>
    <w:rsid w:val="00FE3954"/>
    <w:rsid w:val="00FE727C"/>
    <w:rsid w:val="00FE7439"/>
    <w:rsid w:val="00FF3FFE"/>
    <w:rsid w:val="00FF4516"/>
    <w:rsid w:val="00FF4D96"/>
    <w:rsid w:val="00FF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Char,Intestazione.int,Header1"/>
    <w:basedOn w:val="Normal"/>
    <w:link w:val="HeaderChar"/>
    <w:unhideWhenUsed/>
    <w:rsid w:val="006725DD"/>
    <w:pPr>
      <w:tabs>
        <w:tab w:val="center" w:pos="4680"/>
        <w:tab w:val="right" w:pos="9360"/>
      </w:tabs>
      <w:spacing w:after="0" w:line="240" w:lineRule="auto"/>
    </w:pPr>
  </w:style>
  <w:style w:type="character" w:customStyle="1" w:styleId="HeaderChar">
    <w:name w:val="Header Char"/>
    <w:aliases w:val=" Char Char,Char Char,Intestazione.int Char,Header1 Char"/>
    <w:basedOn w:val="DefaultParagraphFont"/>
    <w:link w:val="Header"/>
    <w:rsid w:val="006725DD"/>
  </w:style>
  <w:style w:type="paragraph" w:styleId="Footer">
    <w:name w:val="footer"/>
    <w:basedOn w:val="Normal"/>
    <w:link w:val="FooterChar"/>
    <w:uiPriority w:val="99"/>
    <w:unhideWhenUsed/>
    <w:qFormat/>
    <w:rsid w:val="0067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5DD"/>
  </w:style>
  <w:style w:type="character" w:styleId="Hyperlink">
    <w:name w:val="Hyperlink"/>
    <w:basedOn w:val="DefaultParagraphFont"/>
    <w:uiPriority w:val="99"/>
    <w:unhideWhenUsed/>
    <w:rsid w:val="006725DD"/>
    <w:rPr>
      <w:color w:val="0563C1" w:themeColor="hyperlink"/>
      <w:u w:val="single"/>
    </w:rPr>
  </w:style>
  <w:style w:type="paragraph" w:styleId="ListParagraph">
    <w:name w:val="List Paragraph"/>
    <w:basedOn w:val="Normal"/>
    <w:uiPriority w:val="34"/>
    <w:qFormat/>
    <w:rsid w:val="006C7CC9"/>
    <w:pPr>
      <w:ind w:left="720"/>
      <w:contextualSpacing/>
    </w:pPr>
  </w:style>
  <w:style w:type="paragraph" w:customStyle="1" w:styleId="Default">
    <w:name w:val="Default"/>
    <w:rsid w:val="00FB771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FB7717"/>
    <w:pPr>
      <w:spacing w:after="0" w:line="240" w:lineRule="auto"/>
      <w:jc w:val="both"/>
    </w:pPr>
    <w:rPr>
      <w:rFonts w:ascii="Times New Roman" w:eastAsia="MS Mincho" w:hAnsi="Times New Roman" w:cs="Times New Roman"/>
      <w:sz w:val="24"/>
      <w:szCs w:val="24"/>
      <w:lang w:val="en-GB"/>
    </w:rPr>
  </w:style>
  <w:style w:type="character" w:customStyle="1" w:styleId="BodyTextChar">
    <w:name w:val="Body Text Char"/>
    <w:basedOn w:val="DefaultParagraphFont"/>
    <w:link w:val="BodyText"/>
    <w:rsid w:val="00FB7717"/>
    <w:rPr>
      <w:rFonts w:ascii="Times New Roman" w:eastAsia="MS Mincho" w:hAnsi="Times New Roman" w:cs="Times New Roman"/>
      <w:sz w:val="24"/>
      <w:szCs w:val="24"/>
      <w:lang w:val="en-GB"/>
    </w:rPr>
  </w:style>
  <w:style w:type="paragraph" w:styleId="NoSpacing">
    <w:name w:val="No Spacing"/>
    <w:link w:val="NoSpacingChar"/>
    <w:uiPriority w:val="1"/>
    <w:qFormat/>
    <w:rsid w:val="009A2F6B"/>
    <w:pPr>
      <w:spacing w:after="0" w:line="240" w:lineRule="auto"/>
    </w:pPr>
    <w:rPr>
      <w:rFonts w:ascii="Times New Roman" w:eastAsia="SimSun" w:hAnsi="Times New Roman" w:cs="Times New Roman"/>
      <w:noProof/>
      <w:sz w:val="24"/>
      <w:szCs w:val="24"/>
      <w:lang w:val="sq-AL" w:eastAsia="zh-CN"/>
    </w:rPr>
  </w:style>
  <w:style w:type="character" w:customStyle="1" w:styleId="NoSpacingChar">
    <w:name w:val="No Spacing Char"/>
    <w:link w:val="NoSpacing"/>
    <w:uiPriority w:val="1"/>
    <w:locked/>
    <w:rsid w:val="009A2F6B"/>
    <w:rPr>
      <w:rFonts w:ascii="Times New Roman" w:eastAsia="SimSun" w:hAnsi="Times New Roman" w:cs="Times New Roman"/>
      <w:noProof/>
      <w:sz w:val="24"/>
      <w:szCs w:val="24"/>
      <w:lang w:val="sq-AL" w:eastAsia="zh-CN"/>
    </w:rPr>
  </w:style>
  <w:style w:type="character" w:styleId="Emphasis">
    <w:name w:val="Emphasis"/>
    <w:basedOn w:val="DefaultParagraphFont"/>
    <w:uiPriority w:val="20"/>
    <w:qFormat/>
    <w:rsid w:val="00BA08CC"/>
    <w:rPr>
      <w:i/>
      <w:iCs/>
    </w:rPr>
  </w:style>
  <w:style w:type="paragraph" w:styleId="BalloonText">
    <w:name w:val="Balloon Text"/>
    <w:basedOn w:val="Normal"/>
    <w:link w:val="BalloonTextChar"/>
    <w:uiPriority w:val="99"/>
    <w:semiHidden/>
    <w:unhideWhenUsed/>
    <w:rsid w:val="00B53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8EC"/>
    <w:rPr>
      <w:rFonts w:ascii="Tahoma" w:hAnsi="Tahoma" w:cs="Tahoma"/>
      <w:sz w:val="16"/>
      <w:szCs w:val="16"/>
    </w:rPr>
  </w:style>
  <w:style w:type="character" w:customStyle="1" w:styleId="twocolumnlayoutmenuheader2">
    <w:name w:val="twocolumnlayoutmenuheader2"/>
    <w:basedOn w:val="DefaultParagraphFont"/>
    <w:rsid w:val="00A04B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Char,Intestazione.int,Header1"/>
    <w:basedOn w:val="Normal"/>
    <w:link w:val="HeaderChar"/>
    <w:unhideWhenUsed/>
    <w:rsid w:val="006725DD"/>
    <w:pPr>
      <w:tabs>
        <w:tab w:val="center" w:pos="4680"/>
        <w:tab w:val="right" w:pos="9360"/>
      </w:tabs>
      <w:spacing w:after="0" w:line="240" w:lineRule="auto"/>
    </w:pPr>
  </w:style>
  <w:style w:type="character" w:customStyle="1" w:styleId="HeaderChar">
    <w:name w:val="Header Char"/>
    <w:aliases w:val=" Char Char,Char Char,Intestazione.int Char,Header1 Char"/>
    <w:basedOn w:val="DefaultParagraphFont"/>
    <w:link w:val="Header"/>
    <w:rsid w:val="006725DD"/>
  </w:style>
  <w:style w:type="paragraph" w:styleId="Footer">
    <w:name w:val="footer"/>
    <w:basedOn w:val="Normal"/>
    <w:link w:val="FooterChar"/>
    <w:uiPriority w:val="99"/>
    <w:unhideWhenUsed/>
    <w:qFormat/>
    <w:rsid w:val="0067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5DD"/>
  </w:style>
  <w:style w:type="character" w:styleId="Hyperlink">
    <w:name w:val="Hyperlink"/>
    <w:basedOn w:val="DefaultParagraphFont"/>
    <w:uiPriority w:val="99"/>
    <w:unhideWhenUsed/>
    <w:rsid w:val="006725DD"/>
    <w:rPr>
      <w:color w:val="0563C1" w:themeColor="hyperlink"/>
      <w:u w:val="single"/>
    </w:rPr>
  </w:style>
  <w:style w:type="paragraph" w:styleId="ListParagraph">
    <w:name w:val="List Paragraph"/>
    <w:basedOn w:val="Normal"/>
    <w:uiPriority w:val="34"/>
    <w:qFormat/>
    <w:rsid w:val="006C7CC9"/>
    <w:pPr>
      <w:ind w:left="720"/>
      <w:contextualSpacing/>
    </w:pPr>
  </w:style>
  <w:style w:type="paragraph" w:customStyle="1" w:styleId="Default">
    <w:name w:val="Default"/>
    <w:rsid w:val="00FB771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FB7717"/>
    <w:pPr>
      <w:spacing w:after="0" w:line="240" w:lineRule="auto"/>
      <w:jc w:val="both"/>
    </w:pPr>
    <w:rPr>
      <w:rFonts w:ascii="Times New Roman" w:eastAsia="MS Mincho" w:hAnsi="Times New Roman" w:cs="Times New Roman"/>
      <w:sz w:val="24"/>
      <w:szCs w:val="24"/>
      <w:lang w:val="en-GB"/>
    </w:rPr>
  </w:style>
  <w:style w:type="character" w:customStyle="1" w:styleId="BodyTextChar">
    <w:name w:val="Body Text Char"/>
    <w:basedOn w:val="DefaultParagraphFont"/>
    <w:link w:val="BodyText"/>
    <w:rsid w:val="00FB7717"/>
    <w:rPr>
      <w:rFonts w:ascii="Times New Roman" w:eastAsia="MS Mincho" w:hAnsi="Times New Roman" w:cs="Times New Roman"/>
      <w:sz w:val="24"/>
      <w:szCs w:val="24"/>
      <w:lang w:val="en-GB"/>
    </w:rPr>
  </w:style>
  <w:style w:type="paragraph" w:styleId="NoSpacing">
    <w:name w:val="No Spacing"/>
    <w:link w:val="NoSpacingChar"/>
    <w:uiPriority w:val="1"/>
    <w:qFormat/>
    <w:rsid w:val="009A2F6B"/>
    <w:pPr>
      <w:spacing w:after="0" w:line="240" w:lineRule="auto"/>
    </w:pPr>
    <w:rPr>
      <w:rFonts w:ascii="Times New Roman" w:eastAsia="SimSun" w:hAnsi="Times New Roman" w:cs="Times New Roman"/>
      <w:noProof/>
      <w:sz w:val="24"/>
      <w:szCs w:val="24"/>
      <w:lang w:val="sq-AL" w:eastAsia="zh-CN"/>
    </w:rPr>
  </w:style>
  <w:style w:type="character" w:customStyle="1" w:styleId="NoSpacingChar">
    <w:name w:val="No Spacing Char"/>
    <w:link w:val="NoSpacing"/>
    <w:uiPriority w:val="1"/>
    <w:locked/>
    <w:rsid w:val="009A2F6B"/>
    <w:rPr>
      <w:rFonts w:ascii="Times New Roman" w:eastAsia="SimSun" w:hAnsi="Times New Roman" w:cs="Times New Roman"/>
      <w:noProof/>
      <w:sz w:val="24"/>
      <w:szCs w:val="24"/>
      <w:lang w:val="sq-AL" w:eastAsia="zh-CN"/>
    </w:rPr>
  </w:style>
  <w:style w:type="character" w:styleId="Emphasis">
    <w:name w:val="Emphasis"/>
    <w:basedOn w:val="DefaultParagraphFont"/>
    <w:uiPriority w:val="20"/>
    <w:qFormat/>
    <w:rsid w:val="00BA08CC"/>
    <w:rPr>
      <w:i/>
      <w:iCs/>
    </w:rPr>
  </w:style>
  <w:style w:type="paragraph" w:styleId="BalloonText">
    <w:name w:val="Balloon Text"/>
    <w:basedOn w:val="Normal"/>
    <w:link w:val="BalloonTextChar"/>
    <w:uiPriority w:val="99"/>
    <w:semiHidden/>
    <w:unhideWhenUsed/>
    <w:rsid w:val="00B53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8EC"/>
    <w:rPr>
      <w:rFonts w:ascii="Tahoma" w:hAnsi="Tahoma" w:cs="Tahoma"/>
      <w:sz w:val="16"/>
      <w:szCs w:val="16"/>
    </w:rPr>
  </w:style>
  <w:style w:type="character" w:customStyle="1" w:styleId="twocolumnlayoutmenuheader2">
    <w:name w:val="twocolumnlayoutmenuheader2"/>
    <w:basedOn w:val="DefaultParagraphFont"/>
    <w:rsid w:val="00A04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9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mailto:info@financa.gov.al" TargetMode="External"/><Relationship Id="rId1" Type="http://schemas.openxmlformats.org/officeDocument/2006/relationships/hyperlink" Target="http://www.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CCB7-BA20-4EB2-A361-F20B2AED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Julvit Shazivari</dc:creator>
  <cp:lastModifiedBy>julvit shazivari</cp:lastModifiedBy>
  <cp:revision>914</cp:revision>
  <cp:lastPrinted>2017-10-04T12:25:00Z</cp:lastPrinted>
  <dcterms:created xsi:type="dcterms:W3CDTF">2017-07-31T06:23:00Z</dcterms:created>
  <dcterms:modified xsi:type="dcterms:W3CDTF">2017-10-16T07:34:00Z</dcterms:modified>
</cp:coreProperties>
</file>