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3BB79" w14:textId="1EE6D3B7" w:rsidR="00180223" w:rsidRPr="00180223" w:rsidRDefault="00180223" w:rsidP="00180223">
      <w:pPr>
        <w:widowControl w:val="0"/>
        <w:tabs>
          <w:tab w:val="left" w:pos="2730"/>
        </w:tabs>
        <w:spacing w:after="0" w:line="276" w:lineRule="auto"/>
        <w:ind w:left="1440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 w:rsidRPr="00180223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1D2A7CFC" wp14:editId="2113D20A">
            <wp:simplePos x="0" y="0"/>
            <wp:positionH relativeFrom="column">
              <wp:posOffset>-200025</wp:posOffset>
            </wp:positionH>
            <wp:positionV relativeFrom="paragraph">
              <wp:posOffset>390</wp:posOffset>
            </wp:positionV>
            <wp:extent cx="858520" cy="1415415"/>
            <wp:effectExtent l="0" t="0" r="0" b="0"/>
            <wp:wrapSquare wrapText="bothSides"/>
            <wp:docPr id="10" name="Picture 10" descr="A black and white logo of a person holding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black and white logo of a person holding a fla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223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6A188E6A" wp14:editId="3861C6A8">
            <wp:simplePos x="0" y="0"/>
            <wp:positionH relativeFrom="column">
              <wp:posOffset>750570</wp:posOffset>
            </wp:positionH>
            <wp:positionV relativeFrom="paragraph">
              <wp:posOffset>37465</wp:posOffset>
            </wp:positionV>
            <wp:extent cx="5295900" cy="65595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F24" w:rsidRPr="0018022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80223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   </w:t>
      </w:r>
      <w:r w:rsidRPr="00180223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REPUBLIKA E SHQIPËRISË</w:t>
      </w:r>
    </w:p>
    <w:p w14:paraId="0FABF690" w14:textId="0F51EC00" w:rsidR="00180223" w:rsidRPr="00180223" w:rsidRDefault="00180223" w:rsidP="00180223">
      <w:pPr>
        <w:widowControl w:val="0"/>
        <w:tabs>
          <w:tab w:val="left" w:pos="2730"/>
        </w:tabs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 w:rsidRPr="00180223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 </w:t>
      </w:r>
      <w:r w:rsidRPr="00180223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 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 </w:t>
      </w:r>
      <w:r w:rsidRPr="00180223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MINISTRIA E FINANCAVE</w:t>
      </w:r>
    </w:p>
    <w:p w14:paraId="531EB17A" w14:textId="6A47C44F" w:rsidR="00180223" w:rsidRPr="00180223" w:rsidRDefault="00180223" w:rsidP="00180223">
      <w:pPr>
        <w:widowControl w:val="0"/>
        <w:spacing w:after="0" w:line="276" w:lineRule="auto"/>
        <w:rPr>
          <w:rFonts w:ascii="Times New Roman" w:eastAsiaTheme="minorEastAsia" w:hAnsi="Times New Roman" w:cs="Times New Roman"/>
          <w:b/>
          <w:caps/>
          <w:sz w:val="24"/>
          <w:szCs w:val="24"/>
          <w:lang w:eastAsia="en-GB"/>
        </w:rPr>
      </w:pPr>
      <w:r w:rsidRPr="00180223">
        <w:rPr>
          <w:rFonts w:ascii="Times New Roman" w:eastAsiaTheme="minorEastAsia" w:hAnsi="Times New Roman" w:cs="Times New Roman"/>
          <w:b/>
          <w:caps/>
          <w:sz w:val="24"/>
          <w:szCs w:val="24"/>
          <w:lang w:eastAsia="en-GB"/>
        </w:rPr>
        <w:t xml:space="preserve">          </w:t>
      </w:r>
      <w:r w:rsidRPr="00180223">
        <w:rPr>
          <w:rFonts w:ascii="Times New Roman" w:eastAsiaTheme="minorEastAsia" w:hAnsi="Times New Roman" w:cs="Times New Roman"/>
          <w:b/>
          <w:caps/>
          <w:sz w:val="24"/>
          <w:szCs w:val="24"/>
          <w:lang w:eastAsia="en-GB"/>
        </w:rPr>
        <w:tab/>
      </w:r>
      <w:r>
        <w:rPr>
          <w:rFonts w:ascii="Times New Roman" w:eastAsiaTheme="minorEastAsia" w:hAnsi="Times New Roman" w:cs="Times New Roman"/>
          <w:b/>
          <w:caps/>
          <w:sz w:val="24"/>
          <w:szCs w:val="24"/>
          <w:lang w:eastAsia="en-GB"/>
        </w:rPr>
        <w:t xml:space="preserve">          </w:t>
      </w:r>
      <w:r w:rsidRPr="00180223">
        <w:rPr>
          <w:rFonts w:ascii="Times New Roman" w:eastAsiaTheme="minorEastAsia" w:hAnsi="Times New Roman" w:cs="Times New Roman"/>
          <w:b/>
          <w:caps/>
          <w:sz w:val="24"/>
          <w:szCs w:val="24"/>
          <w:lang w:eastAsia="en-GB"/>
        </w:rPr>
        <w:t>DREJTORIA E APELIMIT TATIMOR</w:t>
      </w:r>
    </w:p>
    <w:p w14:paraId="5B8B73E1" w14:textId="77777777" w:rsidR="00180223" w:rsidRPr="00180223" w:rsidRDefault="00180223" w:rsidP="00180223">
      <w:pPr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B282E" w14:textId="7F75F658" w:rsidR="00180223" w:rsidRPr="00180223" w:rsidRDefault="00180223" w:rsidP="00180223">
      <w:pPr>
        <w:widowControl w:val="0"/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80223">
        <w:rPr>
          <w:rFonts w:ascii="Times New Roman" w:eastAsia="MS Mincho" w:hAnsi="Times New Roman" w:cs="Times New Roman"/>
          <w:sz w:val="24"/>
          <w:szCs w:val="24"/>
        </w:rPr>
        <w:t xml:space="preserve">Nr. </w:t>
      </w:r>
      <w:r w:rsidR="00F479A3">
        <w:rPr>
          <w:rFonts w:ascii="Times New Roman" w:eastAsia="MS Mincho" w:hAnsi="Times New Roman" w:cs="Times New Roman"/>
          <w:sz w:val="24"/>
          <w:szCs w:val="24"/>
        </w:rPr>
        <w:t>_____</w:t>
      </w:r>
      <w:r w:rsidRPr="00180223">
        <w:rPr>
          <w:rFonts w:ascii="Times New Roman" w:eastAsia="MS Mincho" w:hAnsi="Times New Roman" w:cs="Times New Roman"/>
          <w:sz w:val="24"/>
          <w:szCs w:val="24"/>
        </w:rPr>
        <w:t xml:space="preserve"> /       Prot.</w:t>
      </w:r>
      <w:r w:rsidRPr="00180223">
        <w:rPr>
          <w:rFonts w:ascii="Times New Roman" w:eastAsia="MS Mincho" w:hAnsi="Times New Roman" w:cs="Times New Roman"/>
          <w:sz w:val="24"/>
          <w:szCs w:val="24"/>
        </w:rPr>
        <w:tab/>
      </w:r>
      <w:r w:rsidRPr="00180223">
        <w:rPr>
          <w:rFonts w:ascii="Times New Roman" w:eastAsia="MS Mincho" w:hAnsi="Times New Roman" w:cs="Times New Roman"/>
          <w:sz w:val="24"/>
          <w:szCs w:val="24"/>
        </w:rPr>
        <w:tab/>
        <w:t xml:space="preserve">                        </w:t>
      </w:r>
      <w:r w:rsidRPr="00180223">
        <w:rPr>
          <w:rFonts w:ascii="Times New Roman" w:eastAsia="MS Mincho" w:hAnsi="Times New Roman" w:cs="Times New Roman"/>
          <w:sz w:val="24"/>
          <w:szCs w:val="24"/>
        </w:rPr>
        <w:tab/>
      </w:r>
      <w:r w:rsidRPr="00180223">
        <w:rPr>
          <w:rFonts w:ascii="Times New Roman" w:eastAsia="MS Mincho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Pr="00180223">
        <w:rPr>
          <w:rFonts w:ascii="Times New Roman" w:eastAsia="MS Mincho" w:hAnsi="Times New Roman" w:cs="Times New Roman"/>
          <w:sz w:val="24"/>
          <w:szCs w:val="24"/>
        </w:rPr>
        <w:t>Tiranë, më___.___.2024</w:t>
      </w:r>
    </w:p>
    <w:p w14:paraId="57EB921B" w14:textId="0B185DFB" w:rsidR="00320703" w:rsidRPr="008F095A" w:rsidRDefault="00320703" w:rsidP="009C37AB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50E8E8" w14:textId="77777777" w:rsidR="00320703" w:rsidRPr="008F095A" w:rsidRDefault="00320703" w:rsidP="009C37AB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95A">
        <w:rPr>
          <w:rFonts w:ascii="Times New Roman" w:hAnsi="Times New Roman" w:cs="Times New Roman"/>
          <w:b/>
          <w:sz w:val="24"/>
          <w:szCs w:val="24"/>
        </w:rPr>
        <w:t>V E N D I M</w:t>
      </w:r>
    </w:p>
    <w:p w14:paraId="5203D09D" w14:textId="77777777" w:rsidR="00320703" w:rsidRPr="008F095A" w:rsidRDefault="00320703" w:rsidP="009C37AB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670A0D" w14:textId="62C599B9" w:rsidR="00320703" w:rsidRPr="008F095A" w:rsidRDefault="00320703" w:rsidP="009C37AB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5A">
        <w:rPr>
          <w:rFonts w:ascii="Times New Roman" w:hAnsi="Times New Roman" w:cs="Times New Roman"/>
          <w:sz w:val="24"/>
          <w:szCs w:val="24"/>
        </w:rPr>
        <w:t>Drejtoria e Apelimit Tatimor, në zbatim të kreut XIII të Ligjit nr. 9920, datë 19.05.2008 “Për Procedurat Tatimore në RSH”, mori në shqyrtim kërkesën</w:t>
      </w:r>
      <w:r w:rsidR="008F095A" w:rsidRPr="008F095A">
        <w:rPr>
          <w:rFonts w:ascii="Times New Roman" w:hAnsi="Times New Roman" w:cs="Times New Roman"/>
          <w:sz w:val="24"/>
          <w:szCs w:val="24"/>
        </w:rPr>
        <w:t xml:space="preserve"> </w:t>
      </w:r>
      <w:r w:rsidRPr="008F095A">
        <w:rPr>
          <w:rFonts w:ascii="Times New Roman" w:hAnsi="Times New Roman" w:cs="Times New Roman"/>
          <w:sz w:val="24"/>
          <w:szCs w:val="24"/>
        </w:rPr>
        <w:t>ankimore protokolluar në</w:t>
      </w:r>
      <w:r w:rsidR="008F095A" w:rsidRPr="008F095A">
        <w:rPr>
          <w:rFonts w:ascii="Times New Roman" w:hAnsi="Times New Roman" w:cs="Times New Roman"/>
          <w:sz w:val="24"/>
          <w:szCs w:val="24"/>
        </w:rPr>
        <w:t xml:space="preserve"> </w:t>
      </w:r>
      <w:r w:rsidRPr="008F095A">
        <w:rPr>
          <w:rFonts w:ascii="Times New Roman" w:hAnsi="Times New Roman" w:cs="Times New Roman"/>
          <w:sz w:val="24"/>
          <w:szCs w:val="24"/>
        </w:rPr>
        <w:t xml:space="preserve">Ministrinë e Financave </w:t>
      </w:r>
      <w:r w:rsidR="00F479A3">
        <w:rPr>
          <w:rFonts w:ascii="Times New Roman" w:hAnsi="Times New Roman" w:cs="Times New Roman"/>
          <w:sz w:val="24"/>
          <w:szCs w:val="24"/>
        </w:rPr>
        <w:t xml:space="preserve">ne </w:t>
      </w:r>
      <w:r w:rsidRPr="008F095A">
        <w:rPr>
          <w:rFonts w:ascii="Times New Roman" w:hAnsi="Times New Roman" w:cs="Times New Roman"/>
          <w:sz w:val="24"/>
          <w:szCs w:val="24"/>
        </w:rPr>
        <w:t>datë</w:t>
      </w:r>
      <w:r w:rsidR="003D1D1E" w:rsidRPr="008F095A">
        <w:rPr>
          <w:rFonts w:ascii="Times New Roman" w:hAnsi="Times New Roman" w:cs="Times New Roman"/>
          <w:sz w:val="24"/>
          <w:szCs w:val="24"/>
        </w:rPr>
        <w:t xml:space="preserve"> </w:t>
      </w:r>
      <w:r w:rsidR="00180223">
        <w:rPr>
          <w:rFonts w:ascii="Times New Roman" w:hAnsi="Times New Roman" w:cs="Times New Roman"/>
          <w:sz w:val="24"/>
          <w:szCs w:val="24"/>
        </w:rPr>
        <w:t>19</w:t>
      </w:r>
      <w:r w:rsidR="003D1D1E" w:rsidRPr="008F095A">
        <w:rPr>
          <w:rFonts w:ascii="Times New Roman" w:hAnsi="Times New Roman" w:cs="Times New Roman"/>
          <w:sz w:val="24"/>
          <w:szCs w:val="24"/>
        </w:rPr>
        <w:t>.0</w:t>
      </w:r>
      <w:r w:rsidR="00180223">
        <w:rPr>
          <w:rFonts w:ascii="Times New Roman" w:hAnsi="Times New Roman" w:cs="Times New Roman"/>
          <w:sz w:val="24"/>
          <w:szCs w:val="24"/>
        </w:rPr>
        <w:t>2</w:t>
      </w:r>
      <w:r w:rsidR="003D1D1E" w:rsidRPr="008F095A">
        <w:rPr>
          <w:rFonts w:ascii="Times New Roman" w:hAnsi="Times New Roman" w:cs="Times New Roman"/>
          <w:sz w:val="24"/>
          <w:szCs w:val="24"/>
        </w:rPr>
        <w:t>.202</w:t>
      </w:r>
      <w:r w:rsidR="00180223">
        <w:rPr>
          <w:rFonts w:ascii="Times New Roman" w:hAnsi="Times New Roman" w:cs="Times New Roman"/>
          <w:sz w:val="24"/>
          <w:szCs w:val="24"/>
        </w:rPr>
        <w:t>4</w:t>
      </w:r>
      <w:r w:rsidRPr="008F095A">
        <w:rPr>
          <w:rFonts w:ascii="Times New Roman" w:hAnsi="Times New Roman" w:cs="Times New Roman"/>
          <w:sz w:val="24"/>
          <w:szCs w:val="24"/>
        </w:rPr>
        <w:t xml:space="preserve"> që i përket:</w:t>
      </w:r>
    </w:p>
    <w:p w14:paraId="46F97E99" w14:textId="77777777" w:rsidR="00320703" w:rsidRPr="008F095A" w:rsidRDefault="00320703" w:rsidP="009C37AB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A8062" w14:textId="36209DAF" w:rsidR="00320703" w:rsidRPr="008F095A" w:rsidRDefault="00320703" w:rsidP="009C37AB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5A">
        <w:rPr>
          <w:rFonts w:ascii="Times New Roman" w:hAnsi="Times New Roman" w:cs="Times New Roman"/>
          <w:sz w:val="24"/>
          <w:szCs w:val="24"/>
        </w:rPr>
        <w:t xml:space="preserve">KËRKUES: </w:t>
      </w:r>
      <w:r w:rsidRPr="008F095A">
        <w:rPr>
          <w:rFonts w:ascii="Times New Roman" w:hAnsi="Times New Roman" w:cs="Times New Roman"/>
          <w:sz w:val="24"/>
          <w:szCs w:val="24"/>
        </w:rPr>
        <w:tab/>
      </w:r>
      <w:r w:rsidR="00F479A3">
        <w:rPr>
          <w:rFonts w:ascii="Times New Roman" w:hAnsi="Times New Roman" w:cs="Times New Roman"/>
          <w:sz w:val="24"/>
          <w:szCs w:val="24"/>
        </w:rPr>
        <w:t>_______________</w:t>
      </w:r>
    </w:p>
    <w:p w14:paraId="329C1069" w14:textId="71E8E1A7" w:rsidR="00320703" w:rsidRPr="008F095A" w:rsidRDefault="008F095A" w:rsidP="009C37AB">
      <w:pPr>
        <w:widowControl w:val="0"/>
        <w:spacing w:after="0" w:line="276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8F095A">
        <w:rPr>
          <w:rFonts w:ascii="Times New Roman" w:hAnsi="Times New Roman" w:cs="Times New Roman"/>
          <w:sz w:val="24"/>
          <w:szCs w:val="24"/>
        </w:rPr>
        <w:t xml:space="preserve">OBJEKTI: </w:t>
      </w:r>
      <w:r w:rsidRPr="008F095A">
        <w:rPr>
          <w:rFonts w:ascii="Times New Roman" w:hAnsi="Times New Roman" w:cs="Times New Roman"/>
          <w:sz w:val="24"/>
          <w:szCs w:val="24"/>
        </w:rPr>
        <w:tab/>
        <w:t>Ankim</w:t>
      </w:r>
      <w:r w:rsidR="003D1D1E" w:rsidRPr="008F095A">
        <w:rPr>
          <w:rFonts w:ascii="Times New Roman" w:hAnsi="Times New Roman" w:cs="Times New Roman"/>
          <w:sz w:val="24"/>
          <w:szCs w:val="24"/>
        </w:rPr>
        <w:t xml:space="preserve"> </w:t>
      </w:r>
      <w:r w:rsidRPr="008F095A">
        <w:rPr>
          <w:rFonts w:ascii="Times New Roman" w:hAnsi="Times New Roman" w:cs="Times New Roman"/>
          <w:sz w:val="24"/>
          <w:szCs w:val="24"/>
        </w:rPr>
        <w:t>n</w:t>
      </w:r>
      <w:r w:rsidR="00320703" w:rsidRPr="008F095A">
        <w:rPr>
          <w:rFonts w:ascii="Times New Roman" w:hAnsi="Times New Roman" w:cs="Times New Roman"/>
          <w:sz w:val="24"/>
          <w:szCs w:val="24"/>
        </w:rPr>
        <w:t>daj</w:t>
      </w:r>
      <w:r w:rsidRPr="008F095A">
        <w:rPr>
          <w:rFonts w:ascii="Times New Roman" w:hAnsi="Times New Roman" w:cs="Times New Roman"/>
          <w:sz w:val="24"/>
          <w:szCs w:val="24"/>
        </w:rPr>
        <w:t xml:space="preserve"> </w:t>
      </w:r>
      <w:r w:rsidR="00320703" w:rsidRPr="008F095A">
        <w:rPr>
          <w:rFonts w:ascii="Times New Roman" w:hAnsi="Times New Roman" w:cs="Times New Roman"/>
          <w:sz w:val="24"/>
          <w:szCs w:val="24"/>
        </w:rPr>
        <w:t>njoftim vlerësimit</w:t>
      </w:r>
      <w:r w:rsidR="00180223" w:rsidRPr="008F095A">
        <w:rPr>
          <w:rFonts w:ascii="Times New Roman" w:hAnsi="Times New Roman" w:cs="Times New Roman"/>
          <w:sz w:val="24"/>
          <w:szCs w:val="24"/>
        </w:rPr>
        <w:t xml:space="preserve"> datë </w:t>
      </w:r>
      <w:r w:rsidR="00180223">
        <w:rPr>
          <w:rFonts w:ascii="Times New Roman" w:hAnsi="Times New Roman" w:cs="Times New Roman"/>
          <w:sz w:val="24"/>
          <w:szCs w:val="24"/>
        </w:rPr>
        <w:t>28</w:t>
      </w:r>
      <w:r w:rsidR="00180223" w:rsidRPr="008F095A">
        <w:rPr>
          <w:rFonts w:ascii="Times New Roman" w:hAnsi="Times New Roman" w:cs="Times New Roman"/>
          <w:sz w:val="24"/>
          <w:szCs w:val="24"/>
        </w:rPr>
        <w:t>.0</w:t>
      </w:r>
      <w:r w:rsidR="00180223">
        <w:rPr>
          <w:rFonts w:ascii="Times New Roman" w:hAnsi="Times New Roman" w:cs="Times New Roman"/>
          <w:sz w:val="24"/>
          <w:szCs w:val="24"/>
        </w:rPr>
        <w:t>7</w:t>
      </w:r>
      <w:r w:rsidR="00180223" w:rsidRPr="008F095A">
        <w:rPr>
          <w:rFonts w:ascii="Times New Roman" w:hAnsi="Times New Roman" w:cs="Times New Roman"/>
          <w:sz w:val="24"/>
          <w:szCs w:val="24"/>
        </w:rPr>
        <w:t xml:space="preserve">.2021, </w:t>
      </w:r>
      <w:r w:rsidR="00320703" w:rsidRPr="008F095A">
        <w:rPr>
          <w:rFonts w:ascii="Times New Roman" w:hAnsi="Times New Roman" w:cs="Times New Roman"/>
          <w:sz w:val="24"/>
          <w:szCs w:val="24"/>
        </w:rPr>
        <w:t xml:space="preserve">ku </w:t>
      </w:r>
      <w:r w:rsidR="00180223">
        <w:rPr>
          <w:rFonts w:ascii="Times New Roman" w:hAnsi="Times New Roman" w:cs="Times New Roman"/>
          <w:sz w:val="24"/>
          <w:szCs w:val="24"/>
        </w:rPr>
        <w:t>jan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 w:rsidR="00180223">
        <w:rPr>
          <w:rFonts w:ascii="Times New Roman" w:hAnsi="Times New Roman" w:cs="Times New Roman"/>
          <w:sz w:val="24"/>
          <w:szCs w:val="24"/>
        </w:rPr>
        <w:t xml:space="preserve"> p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 w:rsidR="00180223">
        <w:rPr>
          <w:rFonts w:ascii="Times New Roman" w:hAnsi="Times New Roman" w:cs="Times New Roman"/>
          <w:sz w:val="24"/>
          <w:szCs w:val="24"/>
        </w:rPr>
        <w:t xml:space="preserve">rcaktuar </w:t>
      </w:r>
      <w:r w:rsidR="00320703" w:rsidRPr="008F095A">
        <w:rPr>
          <w:rFonts w:ascii="Times New Roman" w:hAnsi="Times New Roman" w:cs="Times New Roman"/>
          <w:sz w:val="24"/>
          <w:szCs w:val="24"/>
        </w:rPr>
        <w:t>detyrim</w:t>
      </w:r>
      <w:r w:rsidR="00180223">
        <w:rPr>
          <w:rFonts w:ascii="Times New Roman" w:hAnsi="Times New Roman" w:cs="Times New Roman"/>
          <w:sz w:val="24"/>
          <w:szCs w:val="24"/>
        </w:rPr>
        <w:t>et</w:t>
      </w:r>
      <w:r w:rsidR="00320703" w:rsidRPr="008F095A">
        <w:rPr>
          <w:rFonts w:ascii="Times New Roman" w:hAnsi="Times New Roman" w:cs="Times New Roman"/>
          <w:sz w:val="24"/>
          <w:szCs w:val="24"/>
        </w:rPr>
        <w:t xml:space="preserve"> si më poshtë:</w:t>
      </w:r>
    </w:p>
    <w:p w14:paraId="282E59B2" w14:textId="77777777" w:rsidR="00320703" w:rsidRPr="008F095A" w:rsidRDefault="00320703" w:rsidP="009C37AB">
      <w:pPr>
        <w:widowControl w:val="0"/>
        <w:spacing w:after="0" w:line="276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221" w:type="dxa"/>
        <w:tblInd w:w="279" w:type="dxa"/>
        <w:tblLook w:val="04A0" w:firstRow="1" w:lastRow="0" w:firstColumn="1" w:lastColumn="0" w:noHBand="0" w:noVBand="1"/>
      </w:tblPr>
      <w:tblGrid>
        <w:gridCol w:w="676"/>
        <w:gridCol w:w="1718"/>
        <w:gridCol w:w="1291"/>
        <w:gridCol w:w="1418"/>
        <w:gridCol w:w="1843"/>
        <w:gridCol w:w="1275"/>
      </w:tblGrid>
      <w:tr w:rsidR="0066470E" w:rsidRPr="008F095A" w14:paraId="5A6395F8" w14:textId="77777777" w:rsidTr="008F095A">
        <w:tc>
          <w:tcPr>
            <w:tcW w:w="676" w:type="dxa"/>
          </w:tcPr>
          <w:p w14:paraId="1533DB6E" w14:textId="77777777" w:rsidR="0066470E" w:rsidRPr="008F095A" w:rsidRDefault="0066470E" w:rsidP="009C37AB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F09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Nr.</w:t>
            </w:r>
          </w:p>
        </w:tc>
        <w:tc>
          <w:tcPr>
            <w:tcW w:w="1718" w:type="dxa"/>
          </w:tcPr>
          <w:p w14:paraId="0175D5AB" w14:textId="77777777" w:rsidR="0066470E" w:rsidRPr="008F095A" w:rsidRDefault="0066470E" w:rsidP="009C37AB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F09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Tatim</w:t>
            </w:r>
          </w:p>
        </w:tc>
        <w:tc>
          <w:tcPr>
            <w:tcW w:w="1291" w:type="dxa"/>
          </w:tcPr>
          <w:p w14:paraId="2092B845" w14:textId="77777777" w:rsidR="0066470E" w:rsidRPr="008F095A" w:rsidRDefault="0066470E" w:rsidP="009C37AB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F09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Periudhë</w:t>
            </w:r>
          </w:p>
        </w:tc>
        <w:tc>
          <w:tcPr>
            <w:tcW w:w="1418" w:type="dxa"/>
          </w:tcPr>
          <w:p w14:paraId="37B3FCEB" w14:textId="77777777" w:rsidR="0066470E" w:rsidRPr="008F095A" w:rsidRDefault="0066470E" w:rsidP="009C37AB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F09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Detyrim</w:t>
            </w:r>
          </w:p>
        </w:tc>
        <w:tc>
          <w:tcPr>
            <w:tcW w:w="1843" w:type="dxa"/>
          </w:tcPr>
          <w:p w14:paraId="0EFA9E26" w14:textId="77777777" w:rsidR="0066470E" w:rsidRPr="008F095A" w:rsidRDefault="0066470E" w:rsidP="009C37AB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F09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Kamatëvones</w:t>
            </w:r>
            <w:r w:rsidR="00A1444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ë</w:t>
            </w:r>
          </w:p>
        </w:tc>
        <w:tc>
          <w:tcPr>
            <w:tcW w:w="1275" w:type="dxa"/>
          </w:tcPr>
          <w:p w14:paraId="3F91E0A3" w14:textId="77777777" w:rsidR="0066470E" w:rsidRPr="008F095A" w:rsidRDefault="0066470E" w:rsidP="009C37AB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F09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Gjob</w:t>
            </w:r>
            <w:r w:rsidR="00A1444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ë</w:t>
            </w:r>
          </w:p>
        </w:tc>
      </w:tr>
      <w:tr w:rsidR="0066470E" w:rsidRPr="008F095A" w14:paraId="6FB43116" w14:textId="77777777" w:rsidTr="008F095A">
        <w:tc>
          <w:tcPr>
            <w:tcW w:w="676" w:type="dxa"/>
          </w:tcPr>
          <w:p w14:paraId="397D333F" w14:textId="77777777" w:rsidR="0066470E" w:rsidRPr="008F095A" w:rsidRDefault="0066470E" w:rsidP="009C37AB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F09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8" w:type="dxa"/>
          </w:tcPr>
          <w:p w14:paraId="1323BDCC" w14:textId="1A472DF2" w:rsidR="0066470E" w:rsidRPr="008F095A" w:rsidRDefault="0066470E" w:rsidP="009C37AB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F09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TVSH </w:t>
            </w:r>
          </w:p>
        </w:tc>
        <w:tc>
          <w:tcPr>
            <w:tcW w:w="1291" w:type="dxa"/>
          </w:tcPr>
          <w:p w14:paraId="5D3500A4" w14:textId="2127173A" w:rsidR="0066470E" w:rsidRPr="008F095A" w:rsidRDefault="00180223" w:rsidP="009C37AB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2018/11</w:t>
            </w:r>
          </w:p>
        </w:tc>
        <w:tc>
          <w:tcPr>
            <w:tcW w:w="1418" w:type="dxa"/>
          </w:tcPr>
          <w:p w14:paraId="556682FF" w14:textId="18E36D67" w:rsidR="0066470E" w:rsidRPr="008F095A" w:rsidRDefault="00180223" w:rsidP="009C37AB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186.626</w:t>
            </w:r>
          </w:p>
        </w:tc>
        <w:tc>
          <w:tcPr>
            <w:tcW w:w="1843" w:type="dxa"/>
          </w:tcPr>
          <w:p w14:paraId="58BC4E4C" w14:textId="61F85399" w:rsidR="0066470E" w:rsidRPr="008F095A" w:rsidRDefault="00180223" w:rsidP="009C37AB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27.887</w:t>
            </w:r>
          </w:p>
        </w:tc>
        <w:tc>
          <w:tcPr>
            <w:tcW w:w="1275" w:type="dxa"/>
          </w:tcPr>
          <w:p w14:paraId="4B149565" w14:textId="6D1B7F32" w:rsidR="0066470E" w:rsidRPr="008F095A" w:rsidRDefault="00180223" w:rsidP="009C37AB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40.871</w:t>
            </w:r>
          </w:p>
        </w:tc>
      </w:tr>
      <w:tr w:rsidR="00180223" w:rsidRPr="008F095A" w14:paraId="7AD5F8C4" w14:textId="77777777" w:rsidTr="008F095A">
        <w:tc>
          <w:tcPr>
            <w:tcW w:w="676" w:type="dxa"/>
          </w:tcPr>
          <w:p w14:paraId="6ECBFA52" w14:textId="77777777" w:rsidR="00180223" w:rsidRPr="008F095A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F09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18" w:type="dxa"/>
          </w:tcPr>
          <w:p w14:paraId="224F1A32" w14:textId="28DB76F0" w:rsidR="00180223" w:rsidRPr="008F095A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013C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TVSH </w:t>
            </w:r>
          </w:p>
        </w:tc>
        <w:tc>
          <w:tcPr>
            <w:tcW w:w="1291" w:type="dxa"/>
          </w:tcPr>
          <w:p w14:paraId="4FACB420" w14:textId="2C4921F9" w:rsidR="00180223" w:rsidRPr="008F095A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2018/09</w:t>
            </w:r>
          </w:p>
        </w:tc>
        <w:tc>
          <w:tcPr>
            <w:tcW w:w="1418" w:type="dxa"/>
          </w:tcPr>
          <w:p w14:paraId="2F86FFCD" w14:textId="4618DE2B" w:rsidR="00180223" w:rsidRPr="008F095A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248.277</w:t>
            </w:r>
          </w:p>
        </w:tc>
        <w:tc>
          <w:tcPr>
            <w:tcW w:w="1843" w:type="dxa"/>
          </w:tcPr>
          <w:p w14:paraId="69101C95" w14:textId="0723AD88" w:rsidR="00180223" w:rsidRPr="008F095A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39.562</w:t>
            </w:r>
          </w:p>
        </w:tc>
        <w:tc>
          <w:tcPr>
            <w:tcW w:w="1275" w:type="dxa"/>
          </w:tcPr>
          <w:p w14:paraId="2A257A6A" w14:textId="30A8F69C" w:rsidR="00180223" w:rsidRPr="008F095A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54.373</w:t>
            </w:r>
          </w:p>
        </w:tc>
      </w:tr>
      <w:tr w:rsidR="00180223" w:rsidRPr="008F095A" w14:paraId="0F37A50A" w14:textId="77777777" w:rsidTr="008F095A">
        <w:tc>
          <w:tcPr>
            <w:tcW w:w="676" w:type="dxa"/>
          </w:tcPr>
          <w:p w14:paraId="7DB5633F" w14:textId="77777777" w:rsidR="00180223" w:rsidRPr="008F095A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F09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18" w:type="dxa"/>
          </w:tcPr>
          <w:p w14:paraId="32AD6565" w14:textId="066EB061" w:rsidR="00180223" w:rsidRPr="008F095A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013C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TVSH </w:t>
            </w:r>
          </w:p>
        </w:tc>
        <w:tc>
          <w:tcPr>
            <w:tcW w:w="1291" w:type="dxa"/>
          </w:tcPr>
          <w:p w14:paraId="411790C2" w14:textId="60D40A58" w:rsidR="00180223" w:rsidRPr="008F095A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2018/10</w:t>
            </w:r>
          </w:p>
        </w:tc>
        <w:tc>
          <w:tcPr>
            <w:tcW w:w="1418" w:type="dxa"/>
          </w:tcPr>
          <w:p w14:paraId="40193DBD" w14:textId="3C4A9D7E" w:rsidR="00180223" w:rsidRPr="008F095A" w:rsidRDefault="00FF5FF1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41.046</w:t>
            </w:r>
          </w:p>
        </w:tc>
        <w:tc>
          <w:tcPr>
            <w:tcW w:w="1843" w:type="dxa"/>
          </w:tcPr>
          <w:p w14:paraId="23625EA4" w14:textId="62274A68" w:rsidR="00180223" w:rsidRPr="008F095A" w:rsidRDefault="00FF5FF1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6.336</w:t>
            </w:r>
          </w:p>
        </w:tc>
        <w:tc>
          <w:tcPr>
            <w:tcW w:w="1275" w:type="dxa"/>
          </w:tcPr>
          <w:p w14:paraId="0FD59166" w14:textId="2C752B91" w:rsidR="00180223" w:rsidRPr="008F095A" w:rsidRDefault="00FF5FF1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8.989</w:t>
            </w:r>
          </w:p>
        </w:tc>
      </w:tr>
      <w:tr w:rsidR="00180223" w:rsidRPr="008F095A" w14:paraId="296BF011" w14:textId="77777777" w:rsidTr="008F095A">
        <w:tc>
          <w:tcPr>
            <w:tcW w:w="676" w:type="dxa"/>
          </w:tcPr>
          <w:p w14:paraId="64C31FD6" w14:textId="77777777" w:rsidR="00180223" w:rsidRPr="008F095A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F09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18" w:type="dxa"/>
          </w:tcPr>
          <w:p w14:paraId="2CA93F37" w14:textId="5F712EE3" w:rsidR="00180223" w:rsidRPr="008F095A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013C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TVSH </w:t>
            </w:r>
          </w:p>
        </w:tc>
        <w:tc>
          <w:tcPr>
            <w:tcW w:w="1291" w:type="dxa"/>
          </w:tcPr>
          <w:p w14:paraId="73EAFF16" w14:textId="1C1868B6" w:rsidR="00180223" w:rsidRPr="008F095A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2018/12</w:t>
            </w:r>
          </w:p>
        </w:tc>
        <w:tc>
          <w:tcPr>
            <w:tcW w:w="1418" w:type="dxa"/>
          </w:tcPr>
          <w:p w14:paraId="1948F498" w14:textId="14B18E9B" w:rsidR="00180223" w:rsidRPr="008F095A" w:rsidRDefault="00FF5FF1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173.506</w:t>
            </w:r>
          </w:p>
        </w:tc>
        <w:tc>
          <w:tcPr>
            <w:tcW w:w="1843" w:type="dxa"/>
          </w:tcPr>
          <w:p w14:paraId="1EDC199A" w14:textId="5B8F9B1C" w:rsidR="00180223" w:rsidRPr="008F095A" w:rsidRDefault="00FF5FF1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25.042</w:t>
            </w:r>
          </w:p>
        </w:tc>
        <w:tc>
          <w:tcPr>
            <w:tcW w:w="1275" w:type="dxa"/>
          </w:tcPr>
          <w:p w14:paraId="7CCEED20" w14:textId="74A1AA23" w:rsidR="00180223" w:rsidRPr="008F095A" w:rsidRDefault="00FF5FF1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37.998</w:t>
            </w:r>
          </w:p>
        </w:tc>
      </w:tr>
      <w:tr w:rsidR="00180223" w:rsidRPr="008F095A" w14:paraId="62F7C19E" w14:textId="77777777" w:rsidTr="008F095A">
        <w:tc>
          <w:tcPr>
            <w:tcW w:w="676" w:type="dxa"/>
          </w:tcPr>
          <w:p w14:paraId="2CE5975D" w14:textId="77777777" w:rsidR="00180223" w:rsidRPr="008F095A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F09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18" w:type="dxa"/>
          </w:tcPr>
          <w:p w14:paraId="7EECA6CB" w14:textId="14209668" w:rsidR="00180223" w:rsidRPr="008F095A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013C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TVSH </w:t>
            </w:r>
          </w:p>
        </w:tc>
        <w:tc>
          <w:tcPr>
            <w:tcW w:w="1291" w:type="dxa"/>
          </w:tcPr>
          <w:p w14:paraId="57C7BC0C" w14:textId="673E7FE3" w:rsidR="00180223" w:rsidRPr="008F095A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2019/01</w:t>
            </w:r>
          </w:p>
        </w:tc>
        <w:tc>
          <w:tcPr>
            <w:tcW w:w="1418" w:type="dxa"/>
          </w:tcPr>
          <w:p w14:paraId="2485ED68" w14:textId="593732A2" w:rsidR="00180223" w:rsidRPr="008F095A" w:rsidRDefault="00FF5FF1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24.960</w:t>
            </w:r>
          </w:p>
        </w:tc>
        <w:tc>
          <w:tcPr>
            <w:tcW w:w="1843" w:type="dxa"/>
          </w:tcPr>
          <w:p w14:paraId="40F1687A" w14:textId="5CEFA9D1" w:rsidR="00180223" w:rsidRPr="008F095A" w:rsidRDefault="00FF5FF1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3.475</w:t>
            </w:r>
          </w:p>
        </w:tc>
        <w:tc>
          <w:tcPr>
            <w:tcW w:w="1275" w:type="dxa"/>
          </w:tcPr>
          <w:p w14:paraId="0841E4EB" w14:textId="249E606E" w:rsidR="00180223" w:rsidRPr="008F095A" w:rsidRDefault="00FF5FF1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5.466</w:t>
            </w:r>
          </w:p>
        </w:tc>
      </w:tr>
      <w:tr w:rsidR="00180223" w:rsidRPr="008F095A" w14:paraId="315CC6CC" w14:textId="77777777" w:rsidTr="008F095A">
        <w:tc>
          <w:tcPr>
            <w:tcW w:w="676" w:type="dxa"/>
          </w:tcPr>
          <w:p w14:paraId="55CBB7B8" w14:textId="77777777" w:rsidR="00180223" w:rsidRPr="008F095A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F09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18" w:type="dxa"/>
          </w:tcPr>
          <w:p w14:paraId="0353E836" w14:textId="4136C263" w:rsidR="00180223" w:rsidRPr="008F095A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013C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TVSH </w:t>
            </w:r>
          </w:p>
        </w:tc>
        <w:tc>
          <w:tcPr>
            <w:tcW w:w="1291" w:type="dxa"/>
          </w:tcPr>
          <w:p w14:paraId="45001557" w14:textId="4CAA8945" w:rsidR="00180223" w:rsidRPr="008F095A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2019/02</w:t>
            </w:r>
          </w:p>
        </w:tc>
        <w:tc>
          <w:tcPr>
            <w:tcW w:w="1418" w:type="dxa"/>
          </w:tcPr>
          <w:p w14:paraId="2F3F8D84" w14:textId="2E55B2BA" w:rsidR="00180223" w:rsidRPr="008F095A" w:rsidRDefault="00FF5FF1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84.216</w:t>
            </w:r>
          </w:p>
        </w:tc>
        <w:tc>
          <w:tcPr>
            <w:tcW w:w="1843" w:type="dxa"/>
          </w:tcPr>
          <w:p w14:paraId="3424C271" w14:textId="098D9DA6" w:rsidR="00180223" w:rsidRPr="008F095A" w:rsidRDefault="00FF5FF1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11.324</w:t>
            </w:r>
          </w:p>
        </w:tc>
        <w:tc>
          <w:tcPr>
            <w:tcW w:w="1275" w:type="dxa"/>
          </w:tcPr>
          <w:p w14:paraId="01443974" w14:textId="418031E9" w:rsidR="00180223" w:rsidRPr="008F095A" w:rsidRDefault="00FF5FF1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18.443</w:t>
            </w:r>
          </w:p>
        </w:tc>
      </w:tr>
      <w:tr w:rsidR="00180223" w:rsidRPr="008F095A" w14:paraId="17F4E4C0" w14:textId="77777777" w:rsidTr="008F095A">
        <w:tc>
          <w:tcPr>
            <w:tcW w:w="676" w:type="dxa"/>
          </w:tcPr>
          <w:p w14:paraId="4F4347AB" w14:textId="77777777" w:rsidR="00180223" w:rsidRPr="008F095A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F09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18" w:type="dxa"/>
          </w:tcPr>
          <w:p w14:paraId="63213C01" w14:textId="6CCC290D" w:rsidR="00180223" w:rsidRPr="008F095A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013C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TVSH </w:t>
            </w:r>
          </w:p>
        </w:tc>
        <w:tc>
          <w:tcPr>
            <w:tcW w:w="1291" w:type="dxa"/>
          </w:tcPr>
          <w:p w14:paraId="0D07E276" w14:textId="48EA30AA" w:rsidR="00180223" w:rsidRPr="008F095A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2019/03</w:t>
            </w:r>
          </w:p>
        </w:tc>
        <w:tc>
          <w:tcPr>
            <w:tcW w:w="1418" w:type="dxa"/>
          </w:tcPr>
          <w:p w14:paraId="02877228" w14:textId="5CA8DB98" w:rsidR="00180223" w:rsidRPr="008F095A" w:rsidRDefault="00FF5FF1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82.483</w:t>
            </w:r>
          </w:p>
        </w:tc>
        <w:tc>
          <w:tcPr>
            <w:tcW w:w="1843" w:type="dxa"/>
          </w:tcPr>
          <w:p w14:paraId="21331F3B" w14:textId="609DCB1E" w:rsidR="00180223" w:rsidRPr="008F095A" w:rsidRDefault="00FF5FF1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10.671</w:t>
            </w:r>
          </w:p>
        </w:tc>
        <w:tc>
          <w:tcPr>
            <w:tcW w:w="1275" w:type="dxa"/>
          </w:tcPr>
          <w:p w14:paraId="4141E4D7" w14:textId="31E37D62" w:rsidR="00180223" w:rsidRPr="008F095A" w:rsidRDefault="00FF5FF1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18.054</w:t>
            </w:r>
          </w:p>
        </w:tc>
      </w:tr>
      <w:tr w:rsidR="00180223" w:rsidRPr="008F095A" w14:paraId="57D0992A" w14:textId="77777777" w:rsidTr="008F095A">
        <w:tc>
          <w:tcPr>
            <w:tcW w:w="676" w:type="dxa"/>
          </w:tcPr>
          <w:p w14:paraId="465B9460" w14:textId="01BB1A17" w:rsidR="00180223" w:rsidRPr="008F095A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18" w:type="dxa"/>
          </w:tcPr>
          <w:p w14:paraId="425811CC" w14:textId="3BB51BCA" w:rsidR="00180223" w:rsidRPr="00C013C6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013C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TVSH</w:t>
            </w:r>
          </w:p>
        </w:tc>
        <w:tc>
          <w:tcPr>
            <w:tcW w:w="1291" w:type="dxa"/>
          </w:tcPr>
          <w:p w14:paraId="47AFA0AA" w14:textId="4472C398" w:rsidR="00180223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2019/04</w:t>
            </w:r>
          </w:p>
        </w:tc>
        <w:tc>
          <w:tcPr>
            <w:tcW w:w="1418" w:type="dxa"/>
          </w:tcPr>
          <w:p w14:paraId="37B386A1" w14:textId="3C3D54AB" w:rsidR="00180223" w:rsidRPr="008F095A" w:rsidRDefault="00FF5FF1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44.227</w:t>
            </w:r>
          </w:p>
        </w:tc>
        <w:tc>
          <w:tcPr>
            <w:tcW w:w="1843" w:type="dxa"/>
          </w:tcPr>
          <w:p w14:paraId="7D40A567" w14:textId="0A35FB07" w:rsidR="00180223" w:rsidRPr="008F095A" w:rsidRDefault="00FF5FF1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5.511</w:t>
            </w:r>
          </w:p>
        </w:tc>
        <w:tc>
          <w:tcPr>
            <w:tcW w:w="1275" w:type="dxa"/>
          </w:tcPr>
          <w:p w14:paraId="3416553B" w14:textId="53594FF7" w:rsidR="00180223" w:rsidRPr="008F095A" w:rsidRDefault="00FF5FF1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9.686</w:t>
            </w:r>
          </w:p>
        </w:tc>
      </w:tr>
      <w:tr w:rsidR="00180223" w:rsidRPr="008F095A" w14:paraId="24C19010" w14:textId="77777777" w:rsidTr="008F095A">
        <w:tc>
          <w:tcPr>
            <w:tcW w:w="676" w:type="dxa"/>
          </w:tcPr>
          <w:p w14:paraId="08D5EA1B" w14:textId="01E48CAC" w:rsidR="00180223" w:rsidRPr="008F095A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18" w:type="dxa"/>
          </w:tcPr>
          <w:p w14:paraId="1182C350" w14:textId="2DF7D74C" w:rsidR="00180223" w:rsidRPr="00C013C6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013C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TVSH</w:t>
            </w:r>
          </w:p>
        </w:tc>
        <w:tc>
          <w:tcPr>
            <w:tcW w:w="1291" w:type="dxa"/>
          </w:tcPr>
          <w:p w14:paraId="608B7BB3" w14:textId="5F8927E0" w:rsidR="00180223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2019/04</w:t>
            </w:r>
          </w:p>
        </w:tc>
        <w:tc>
          <w:tcPr>
            <w:tcW w:w="1418" w:type="dxa"/>
          </w:tcPr>
          <w:p w14:paraId="62155F3D" w14:textId="77777777" w:rsidR="00180223" w:rsidRPr="008F095A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14:paraId="68F37F80" w14:textId="77777777" w:rsidR="00180223" w:rsidRPr="008F095A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606F3142" w14:textId="2C96AE48" w:rsidR="00180223" w:rsidRPr="008F095A" w:rsidRDefault="00FF5FF1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235.887</w:t>
            </w:r>
          </w:p>
        </w:tc>
      </w:tr>
      <w:tr w:rsidR="00180223" w:rsidRPr="008F095A" w14:paraId="42FF4DD7" w14:textId="77777777" w:rsidTr="008F095A">
        <w:tc>
          <w:tcPr>
            <w:tcW w:w="676" w:type="dxa"/>
          </w:tcPr>
          <w:p w14:paraId="5C644400" w14:textId="58577967" w:rsidR="00180223" w:rsidRPr="008F095A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18" w:type="dxa"/>
          </w:tcPr>
          <w:p w14:paraId="0D91AAD7" w14:textId="180B39F5" w:rsidR="00180223" w:rsidRPr="00C013C6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013C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TVSH</w:t>
            </w:r>
          </w:p>
        </w:tc>
        <w:tc>
          <w:tcPr>
            <w:tcW w:w="1291" w:type="dxa"/>
          </w:tcPr>
          <w:p w14:paraId="2853B0BB" w14:textId="75E01E14" w:rsidR="00180223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2018/12</w:t>
            </w:r>
          </w:p>
        </w:tc>
        <w:tc>
          <w:tcPr>
            <w:tcW w:w="1418" w:type="dxa"/>
          </w:tcPr>
          <w:p w14:paraId="2DAFB95F" w14:textId="77777777" w:rsidR="00180223" w:rsidRPr="008F095A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14:paraId="49673745" w14:textId="77777777" w:rsidR="00180223" w:rsidRPr="008F095A" w:rsidRDefault="00180223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17C03007" w14:textId="25DF0EFF" w:rsidR="00180223" w:rsidRPr="008F095A" w:rsidRDefault="00FF5FF1" w:rsidP="00180223">
            <w:pPr>
              <w:widowControl w:val="0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649.454</w:t>
            </w:r>
          </w:p>
        </w:tc>
      </w:tr>
      <w:tr w:rsidR="008F095A" w:rsidRPr="008F095A" w14:paraId="4B4BC615" w14:textId="77777777" w:rsidTr="00B74E66">
        <w:tc>
          <w:tcPr>
            <w:tcW w:w="3685" w:type="dxa"/>
            <w:gridSpan w:val="3"/>
          </w:tcPr>
          <w:p w14:paraId="28F848A8" w14:textId="77777777" w:rsidR="008F095A" w:rsidRPr="008F095A" w:rsidRDefault="008F095A" w:rsidP="009C37AB">
            <w:pPr>
              <w:widowControl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F09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Totali</w:t>
            </w:r>
          </w:p>
        </w:tc>
        <w:tc>
          <w:tcPr>
            <w:tcW w:w="4536" w:type="dxa"/>
            <w:gridSpan w:val="3"/>
          </w:tcPr>
          <w:p w14:paraId="580823A1" w14:textId="18C4CB0C" w:rsidR="008F095A" w:rsidRPr="008F095A" w:rsidRDefault="00FF5FF1" w:rsidP="009C37AB">
            <w:pPr>
              <w:widowControl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2.094.380</w:t>
            </w:r>
          </w:p>
        </w:tc>
      </w:tr>
    </w:tbl>
    <w:p w14:paraId="34FAF15D" w14:textId="77777777" w:rsidR="00773BD1" w:rsidRDefault="00773BD1" w:rsidP="009C37AB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6E800" w14:textId="6AC181C4" w:rsidR="008C015E" w:rsidRDefault="00FF5FF1" w:rsidP="009C37AB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 k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protokolluar pran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DRT, tatimpaguesi ka k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rkuar nga DRT pajisjen m</w:t>
      </w:r>
      <w:r w:rsidR="0091198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njoftim vler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 me firm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vul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dhe raportin e kontrollit mbi t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cilin jan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llogaritur detyrimet.</w:t>
      </w:r>
    </w:p>
    <w:p w14:paraId="7382CBC1" w14:textId="77777777" w:rsidR="0016279D" w:rsidRDefault="0016279D" w:rsidP="009C37AB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B8CFB" w14:textId="268750E5" w:rsidR="0016279D" w:rsidRDefault="0016279D" w:rsidP="009C37AB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rgjigje t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s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tatimpaguesit, DRT i ka d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rguar tatimpaguesit zarfin, raport kontrolli dhe njoftim vler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simi, d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rguar n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rbimin postar n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dat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28.07.2021, kthyer m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dat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08.02.2021</w:t>
      </w:r>
      <w:r w:rsidR="00F479A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bashk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lidhur shkres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zarfi i kthyer).</w:t>
      </w:r>
    </w:p>
    <w:p w14:paraId="66A48E59" w14:textId="4DA4C455" w:rsidR="0016279D" w:rsidRDefault="0016279D" w:rsidP="009C37AB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vijim, DRT i b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n me dije tatimpaguesit se arsyeja e kthimit 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“i panjohur”, nga adresa e sh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nuar, e cila 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dhe adresa n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sistemin c@ts. M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tej, DRT k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rkon nga tatimpaguesi p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rdit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simin e adres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s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aktivitetit t</w:t>
      </w:r>
      <w:r w:rsidR="000A7B0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tij.</w:t>
      </w:r>
    </w:p>
    <w:p w14:paraId="48E077A2" w14:textId="77777777" w:rsidR="008C015E" w:rsidRDefault="008C015E" w:rsidP="009C37AB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7297F" w14:textId="33A1A10C" w:rsidR="00A1444C" w:rsidRDefault="00F15022" w:rsidP="009C37A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95A">
        <w:rPr>
          <w:rFonts w:ascii="Times New Roman" w:hAnsi="Times New Roman" w:cs="Times New Roman"/>
          <w:bCs/>
          <w:sz w:val="24"/>
          <w:szCs w:val="24"/>
        </w:rPr>
        <w:lastRenderedPageBreak/>
        <w:t>Nga shqyrtimi paraprak i k</w:t>
      </w:r>
      <w:r w:rsidR="002B5AA9" w:rsidRPr="008F095A">
        <w:rPr>
          <w:rFonts w:ascii="Times New Roman" w:hAnsi="Times New Roman" w:cs="Times New Roman"/>
          <w:bCs/>
          <w:sz w:val="24"/>
          <w:szCs w:val="24"/>
        </w:rPr>
        <w:t>ë</w:t>
      </w:r>
      <w:r w:rsidRPr="008F095A">
        <w:rPr>
          <w:rFonts w:ascii="Times New Roman" w:hAnsi="Times New Roman" w:cs="Times New Roman"/>
          <w:bCs/>
          <w:sz w:val="24"/>
          <w:szCs w:val="24"/>
        </w:rPr>
        <w:t>rkes</w:t>
      </w:r>
      <w:r w:rsidR="002B5AA9" w:rsidRPr="008F095A">
        <w:rPr>
          <w:rFonts w:ascii="Times New Roman" w:hAnsi="Times New Roman" w:cs="Times New Roman"/>
          <w:bCs/>
          <w:sz w:val="24"/>
          <w:szCs w:val="24"/>
        </w:rPr>
        <w:t>ë</w:t>
      </w:r>
      <w:r w:rsidRPr="008F095A">
        <w:rPr>
          <w:rFonts w:ascii="Times New Roman" w:hAnsi="Times New Roman" w:cs="Times New Roman"/>
          <w:bCs/>
          <w:sz w:val="24"/>
          <w:szCs w:val="24"/>
        </w:rPr>
        <w:t>s ankimore, Drejtoria e Apelimit Tatimor</w:t>
      </w:r>
      <w:r w:rsidR="008F095A" w:rsidRPr="008F095A">
        <w:rPr>
          <w:rFonts w:ascii="Times New Roman" w:hAnsi="Times New Roman" w:cs="Times New Roman"/>
          <w:bCs/>
          <w:sz w:val="24"/>
          <w:szCs w:val="24"/>
        </w:rPr>
        <w:t xml:space="preserve"> konstat</w:t>
      </w:r>
      <w:r w:rsidR="0016279D">
        <w:rPr>
          <w:rFonts w:ascii="Times New Roman" w:hAnsi="Times New Roman" w:cs="Times New Roman"/>
          <w:bCs/>
          <w:sz w:val="24"/>
          <w:szCs w:val="24"/>
        </w:rPr>
        <w:t>on</w:t>
      </w:r>
      <w:r w:rsidRPr="008F095A">
        <w:rPr>
          <w:rFonts w:ascii="Times New Roman" w:hAnsi="Times New Roman" w:cs="Times New Roman"/>
          <w:bCs/>
          <w:sz w:val="24"/>
          <w:szCs w:val="24"/>
        </w:rPr>
        <w:t xml:space="preserve"> se kërkesa për apelim është bërë jashtë afatit ligjor të përcaktuar në Ligjin nr. 9920, datë 19.05.2008, “Për Proçedur</w:t>
      </w:r>
      <w:r w:rsidR="00A1444C">
        <w:rPr>
          <w:rFonts w:ascii="Times New Roman" w:hAnsi="Times New Roman" w:cs="Times New Roman"/>
          <w:bCs/>
          <w:sz w:val="24"/>
          <w:szCs w:val="24"/>
        </w:rPr>
        <w:t>at Tatimore në R.SH.”, neni 106, pika 3</w:t>
      </w:r>
      <w:r w:rsidR="004F64B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C37AB">
        <w:rPr>
          <w:rFonts w:ascii="Times New Roman" w:hAnsi="Times New Roman" w:cs="Times New Roman"/>
          <w:bCs/>
          <w:sz w:val="24"/>
          <w:szCs w:val="24"/>
        </w:rPr>
        <w:t xml:space="preserve">pasi </w:t>
      </w:r>
      <w:r w:rsidR="00A1444C">
        <w:rPr>
          <w:rFonts w:ascii="Times New Roman" w:hAnsi="Times New Roman" w:cs="Times New Roman"/>
          <w:bCs/>
          <w:sz w:val="24"/>
          <w:szCs w:val="24"/>
        </w:rPr>
        <w:t>n</w:t>
      </w:r>
      <w:r w:rsidR="00A1444C" w:rsidRPr="008F095A">
        <w:rPr>
          <w:rFonts w:ascii="Times New Roman" w:hAnsi="Times New Roman" w:cs="Times New Roman"/>
          <w:bCs/>
          <w:sz w:val="24"/>
          <w:szCs w:val="24"/>
        </w:rPr>
        <w:t xml:space="preserve">joftim vlerësimi i ankimuar mban datën </w:t>
      </w:r>
      <w:r w:rsidR="004F64B6">
        <w:rPr>
          <w:rFonts w:ascii="Times New Roman" w:hAnsi="Times New Roman" w:cs="Times New Roman"/>
          <w:bCs/>
          <w:sz w:val="24"/>
          <w:szCs w:val="24"/>
        </w:rPr>
        <w:t>23</w:t>
      </w:r>
      <w:r w:rsidR="00A1444C" w:rsidRPr="008F095A">
        <w:rPr>
          <w:rFonts w:ascii="Times New Roman" w:hAnsi="Times New Roman" w:cs="Times New Roman"/>
          <w:bCs/>
          <w:sz w:val="24"/>
          <w:szCs w:val="24"/>
        </w:rPr>
        <w:t>.0</w:t>
      </w:r>
      <w:r w:rsidR="004F64B6">
        <w:rPr>
          <w:rFonts w:ascii="Times New Roman" w:hAnsi="Times New Roman" w:cs="Times New Roman"/>
          <w:bCs/>
          <w:sz w:val="24"/>
          <w:szCs w:val="24"/>
        </w:rPr>
        <w:t>7</w:t>
      </w:r>
      <w:r w:rsidR="00A1444C" w:rsidRPr="008F095A">
        <w:rPr>
          <w:rFonts w:ascii="Times New Roman" w:hAnsi="Times New Roman" w:cs="Times New Roman"/>
          <w:bCs/>
          <w:sz w:val="24"/>
          <w:szCs w:val="24"/>
        </w:rPr>
        <w:t xml:space="preserve">.2021, ndërsa ankimi është dorëzuar në shërbimin postar në datë </w:t>
      </w:r>
      <w:r w:rsidR="004F64B6">
        <w:rPr>
          <w:rFonts w:ascii="Times New Roman" w:hAnsi="Times New Roman" w:cs="Times New Roman"/>
          <w:bCs/>
          <w:sz w:val="24"/>
          <w:szCs w:val="24"/>
        </w:rPr>
        <w:t>14</w:t>
      </w:r>
      <w:r w:rsidR="00A1444C" w:rsidRPr="008F095A">
        <w:rPr>
          <w:rFonts w:ascii="Times New Roman" w:hAnsi="Times New Roman" w:cs="Times New Roman"/>
          <w:bCs/>
          <w:sz w:val="24"/>
          <w:szCs w:val="24"/>
        </w:rPr>
        <w:t>.</w:t>
      </w:r>
      <w:r w:rsidR="004F64B6">
        <w:rPr>
          <w:rFonts w:ascii="Times New Roman" w:hAnsi="Times New Roman" w:cs="Times New Roman"/>
          <w:bCs/>
          <w:sz w:val="24"/>
          <w:szCs w:val="24"/>
        </w:rPr>
        <w:t>0</w:t>
      </w:r>
      <w:r w:rsidR="00A1444C" w:rsidRPr="008F095A">
        <w:rPr>
          <w:rFonts w:ascii="Times New Roman" w:hAnsi="Times New Roman" w:cs="Times New Roman"/>
          <w:bCs/>
          <w:sz w:val="24"/>
          <w:szCs w:val="24"/>
        </w:rPr>
        <w:t>2.202</w:t>
      </w:r>
      <w:r w:rsidR="004F64B6">
        <w:rPr>
          <w:rFonts w:ascii="Times New Roman" w:hAnsi="Times New Roman" w:cs="Times New Roman"/>
          <w:bCs/>
          <w:sz w:val="24"/>
          <w:szCs w:val="24"/>
        </w:rPr>
        <w:t>4</w:t>
      </w:r>
      <w:r w:rsidR="00A1444C" w:rsidRPr="008F095A">
        <w:rPr>
          <w:rFonts w:ascii="Times New Roman" w:hAnsi="Times New Roman" w:cs="Times New Roman"/>
          <w:bCs/>
          <w:sz w:val="24"/>
          <w:szCs w:val="24"/>
        </w:rPr>
        <w:t xml:space="preserve"> dhe protokolluar në DAT në datën </w:t>
      </w:r>
      <w:r w:rsidR="004F64B6">
        <w:rPr>
          <w:rFonts w:ascii="Times New Roman" w:hAnsi="Times New Roman" w:cs="Times New Roman"/>
          <w:bCs/>
          <w:sz w:val="24"/>
          <w:szCs w:val="24"/>
        </w:rPr>
        <w:t>19</w:t>
      </w:r>
      <w:r w:rsidR="00A1444C" w:rsidRPr="008F095A">
        <w:rPr>
          <w:rFonts w:ascii="Times New Roman" w:hAnsi="Times New Roman" w:cs="Times New Roman"/>
          <w:bCs/>
          <w:sz w:val="24"/>
          <w:szCs w:val="24"/>
        </w:rPr>
        <w:t>.0</w:t>
      </w:r>
      <w:r w:rsidR="004F64B6">
        <w:rPr>
          <w:rFonts w:ascii="Times New Roman" w:hAnsi="Times New Roman" w:cs="Times New Roman"/>
          <w:bCs/>
          <w:sz w:val="24"/>
          <w:szCs w:val="24"/>
        </w:rPr>
        <w:t>2</w:t>
      </w:r>
      <w:r w:rsidR="00A1444C" w:rsidRPr="008F095A">
        <w:rPr>
          <w:rFonts w:ascii="Times New Roman" w:hAnsi="Times New Roman" w:cs="Times New Roman"/>
          <w:bCs/>
          <w:sz w:val="24"/>
          <w:szCs w:val="24"/>
        </w:rPr>
        <w:t>.202</w:t>
      </w:r>
      <w:r w:rsidR="004F64B6">
        <w:rPr>
          <w:rFonts w:ascii="Times New Roman" w:hAnsi="Times New Roman" w:cs="Times New Roman"/>
          <w:bCs/>
          <w:sz w:val="24"/>
          <w:szCs w:val="24"/>
        </w:rPr>
        <w:t>4</w:t>
      </w:r>
      <w:r w:rsidR="00A1444C" w:rsidRPr="008F095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087F1B" w14:textId="77777777" w:rsidR="004F64B6" w:rsidRPr="00BD0A24" w:rsidRDefault="004F64B6" w:rsidP="009C37A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AFB31E" w14:textId="77777777" w:rsidR="009C37AB" w:rsidRPr="00BD0A24" w:rsidRDefault="009C37AB" w:rsidP="009C37A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BD0A24">
        <w:rPr>
          <w:rFonts w:ascii="Times New Roman" w:hAnsi="Times New Roman" w:cs="Times New Roman"/>
          <w:bCs/>
          <w:sz w:val="24"/>
          <w:szCs w:val="24"/>
        </w:rPr>
        <w:t>ë Ligjin nr. 9920, datë 19.05.2008 “Për Proçedurat Tatimore në R.SH.”, neni 106</w:t>
      </w:r>
      <w:r>
        <w:rPr>
          <w:rFonts w:ascii="Times New Roman" w:hAnsi="Times New Roman" w:cs="Times New Roman"/>
          <w:bCs/>
          <w:sz w:val="24"/>
          <w:szCs w:val="24"/>
        </w:rPr>
        <w:t>, pika 3</w:t>
      </w:r>
      <w:r w:rsidRPr="00BD0A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përcakton se </w:t>
      </w:r>
      <w:r w:rsidRPr="00BD0A24">
        <w:rPr>
          <w:rFonts w:ascii="Times New Roman" w:hAnsi="Times New Roman" w:cs="Times New Roman"/>
          <w:bCs/>
          <w:sz w:val="24"/>
          <w:szCs w:val="24"/>
        </w:rPr>
        <w:t>“</w:t>
      </w:r>
      <w:r w:rsidRPr="00BD0A24">
        <w:rPr>
          <w:rFonts w:ascii="Times New Roman" w:hAnsi="Times New Roman" w:cs="Times New Roman"/>
          <w:bCs/>
          <w:i/>
          <w:sz w:val="24"/>
          <w:szCs w:val="24"/>
        </w:rPr>
        <w:t>Tatimpaguesi e dorëzon ankimin në drejtorinë e apelimit tatimor brenda 30 ditëve kalendarike nga data kur vlerësimi ose vendimi i administratës tatimore është marrë ose vlerësohet të jetë marrë nga tatimpaguesi</w:t>
      </w:r>
      <w:r w:rsidRPr="00BD0A24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D0A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Udhëzimi</w:t>
      </w:r>
      <w:r w:rsidRPr="00BD0A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nr. 24, datë 02.09.2008 “Për Procedurat Tatimore në RSH”, </w:t>
      </w:r>
      <w:r w:rsidRPr="00BD0A24">
        <w:rPr>
          <w:rFonts w:ascii="Times New Roman" w:hAnsi="Times New Roman" w:cs="Times New Roman"/>
          <w:bCs/>
          <w:sz w:val="24"/>
          <w:szCs w:val="24"/>
        </w:rPr>
        <w:t xml:space="preserve">pika 106.3.1 </w:t>
      </w:r>
      <w:r>
        <w:rPr>
          <w:rFonts w:ascii="Times New Roman" w:hAnsi="Times New Roman" w:cs="Times New Roman"/>
          <w:bCs/>
          <w:sz w:val="24"/>
          <w:szCs w:val="24"/>
        </w:rPr>
        <w:t>përcakton</w:t>
      </w:r>
      <w:r w:rsidRPr="00BD0A24">
        <w:rPr>
          <w:rFonts w:ascii="Times New Roman" w:hAnsi="Times New Roman" w:cs="Times New Roman"/>
          <w:bCs/>
          <w:sz w:val="24"/>
          <w:szCs w:val="24"/>
        </w:rPr>
        <w:t xml:space="preserve"> se: </w:t>
      </w:r>
      <w:r w:rsidRPr="00BD0A24">
        <w:rPr>
          <w:rFonts w:ascii="Times New Roman" w:hAnsi="Times New Roman" w:cs="Times New Roman"/>
          <w:bCs/>
          <w:i/>
          <w:sz w:val="24"/>
          <w:szCs w:val="24"/>
        </w:rPr>
        <w:t>“Ankimi duhet të bëhet brenda 30 ditëve kalendarike nga data kur akti administrativ është marrë ose konsiderohet të jetë marrë; afati shtyhet në ditën pasardhëse të punës nëqoftëse dita e fundit e afatit bie në ditë pushimi apo feste zyrtare...”</w:t>
      </w:r>
      <w:r w:rsidRPr="00BD0A2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7778C3" w14:textId="77777777" w:rsidR="009C37AB" w:rsidRPr="00BD0A24" w:rsidRDefault="009C37AB" w:rsidP="009C37A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60BC23" w14:textId="450CDD60" w:rsidR="009C37AB" w:rsidRPr="00BD0A24" w:rsidRDefault="009C37AB" w:rsidP="009C37AB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D0A24">
        <w:rPr>
          <w:rFonts w:ascii="Times New Roman" w:hAnsi="Times New Roman" w:cs="Times New Roman"/>
          <w:bCs/>
          <w:sz w:val="24"/>
          <w:szCs w:val="24"/>
        </w:rPr>
        <w:t xml:space="preserve">Në lidhje me pretendimin se akti është marrë </w:t>
      </w:r>
      <w:r w:rsidR="004F64B6">
        <w:rPr>
          <w:rFonts w:ascii="Times New Roman" w:hAnsi="Times New Roman" w:cs="Times New Roman"/>
          <w:bCs/>
          <w:sz w:val="24"/>
          <w:szCs w:val="24"/>
        </w:rPr>
        <w:t>nga</w:t>
      </w:r>
      <w:r>
        <w:rPr>
          <w:rFonts w:ascii="Times New Roman" w:hAnsi="Times New Roman" w:cs="Times New Roman"/>
          <w:bCs/>
          <w:sz w:val="24"/>
          <w:szCs w:val="24"/>
        </w:rPr>
        <w:t xml:space="preserve"> DRT </w:t>
      </w:r>
      <w:r w:rsidRPr="00BD0A24">
        <w:rPr>
          <w:rFonts w:ascii="Times New Roman" w:hAnsi="Times New Roman" w:cs="Times New Roman"/>
          <w:bCs/>
          <w:sz w:val="24"/>
          <w:szCs w:val="24"/>
        </w:rPr>
        <w:t xml:space="preserve">në datën </w:t>
      </w:r>
      <w:r w:rsidR="004F64B6">
        <w:rPr>
          <w:rFonts w:ascii="Times New Roman" w:hAnsi="Times New Roman" w:cs="Times New Roman"/>
          <w:bCs/>
          <w:sz w:val="24"/>
          <w:szCs w:val="24"/>
        </w:rPr>
        <w:t>25</w:t>
      </w:r>
      <w:r w:rsidRPr="00BD0A24">
        <w:rPr>
          <w:rFonts w:ascii="Times New Roman" w:hAnsi="Times New Roman" w:cs="Times New Roman"/>
          <w:bCs/>
          <w:sz w:val="24"/>
          <w:szCs w:val="24"/>
        </w:rPr>
        <w:t>.</w:t>
      </w:r>
      <w:r w:rsidR="004F64B6">
        <w:rPr>
          <w:rFonts w:ascii="Times New Roman" w:hAnsi="Times New Roman" w:cs="Times New Roman"/>
          <w:bCs/>
          <w:sz w:val="24"/>
          <w:szCs w:val="24"/>
        </w:rPr>
        <w:t>01</w:t>
      </w:r>
      <w:r w:rsidRPr="00BD0A24">
        <w:rPr>
          <w:rFonts w:ascii="Times New Roman" w:hAnsi="Times New Roman" w:cs="Times New Roman"/>
          <w:bCs/>
          <w:sz w:val="24"/>
          <w:szCs w:val="24"/>
        </w:rPr>
        <w:t>.202</w:t>
      </w:r>
      <w:r w:rsidR="004F64B6">
        <w:rPr>
          <w:rFonts w:ascii="Times New Roman" w:hAnsi="Times New Roman" w:cs="Times New Roman"/>
          <w:bCs/>
          <w:sz w:val="24"/>
          <w:szCs w:val="24"/>
        </w:rPr>
        <w:t>4</w:t>
      </w:r>
      <w:r w:rsidRPr="00BD0A24">
        <w:rPr>
          <w:rFonts w:ascii="Times New Roman" w:hAnsi="Times New Roman" w:cs="Times New Roman"/>
          <w:bCs/>
          <w:sz w:val="24"/>
          <w:szCs w:val="24"/>
        </w:rPr>
        <w:t xml:space="preserve">, D.A.T. sjell në vëmendje se </w:t>
      </w:r>
      <w:r w:rsidRPr="00BD0A24">
        <w:rPr>
          <w:rFonts w:ascii="Times New Roman" w:eastAsia="Calibri" w:hAnsi="Times New Roman" w:cs="Times New Roman"/>
          <w:bCs/>
          <w:sz w:val="24"/>
          <w:szCs w:val="24"/>
        </w:rPr>
        <w:t xml:space="preserve">paragrafi 23.2 i Udhëzimit nr. 24 përcakton se </w:t>
      </w:r>
      <w:r w:rsidRPr="00BD0A24">
        <w:rPr>
          <w:rFonts w:ascii="Times New Roman" w:eastAsia="Calibri" w:hAnsi="Times New Roman" w:cs="Times New Roman"/>
          <w:bCs/>
          <w:i/>
          <w:sz w:val="24"/>
          <w:szCs w:val="24"/>
        </w:rPr>
        <w:t>“Vlerësimet, njoftimet, vendimet dhe komunikimet zyrtare të administratës tatimore, drejtuar tatimpaguesve, u dërgohen atyre në adresën e deklaruar nga vetë ato”.</w:t>
      </w:r>
    </w:p>
    <w:p w14:paraId="5B1E68C0" w14:textId="77777777" w:rsidR="009C37AB" w:rsidRPr="00BD0A24" w:rsidRDefault="009C37AB" w:rsidP="009C37AB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38A56604" w14:textId="77777777" w:rsidR="009C37AB" w:rsidRPr="00BD0A24" w:rsidRDefault="009C37AB" w:rsidP="009C37AB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0A24">
        <w:rPr>
          <w:rFonts w:ascii="Times New Roman" w:eastAsia="Calibri" w:hAnsi="Times New Roman" w:cs="Times New Roman"/>
          <w:bCs/>
          <w:sz w:val="24"/>
          <w:szCs w:val="24"/>
        </w:rPr>
        <w:t>Ndërsa paragrafi 23.3.1 i udhëzimit përcakton se “</w:t>
      </w:r>
      <w:r w:rsidRPr="00BD0A24">
        <w:rPr>
          <w:rFonts w:ascii="Times New Roman" w:eastAsia="Calibri" w:hAnsi="Times New Roman" w:cs="Times New Roman"/>
          <w:bCs/>
          <w:i/>
          <w:sz w:val="24"/>
          <w:szCs w:val="24"/>
        </w:rPr>
        <w:t>Data e marrjes dijeni nga tatimpaguesi, për çdo akt dhe korrespondencë tjetër të nisur nga administrata tatimore, konsiderohet dita e dhjetë pas datës së dërgimit të aktit apo korrespondencës. Data e dërgimit është data e pranimit të aktit apo korrespondencës në shërbimin postar. Kështu, në qoftë se një akt i nxjerrë nga ana e administratës tatimore, apo një korrespondencë tjetër çfarëdo, është pranuar në shërbimin postar më datë 1 të muajit, ai konsiderohet se është marrë, dhe i është bërë i ditur tatimpaguesit me datë 11 të muajit</w:t>
      </w:r>
      <w:r w:rsidRPr="00BD0A24">
        <w:rPr>
          <w:rFonts w:ascii="Times New Roman" w:eastAsia="Calibri" w:hAnsi="Times New Roman" w:cs="Times New Roman"/>
          <w:bCs/>
          <w:sz w:val="24"/>
          <w:szCs w:val="24"/>
        </w:rPr>
        <w:t>”.</w:t>
      </w:r>
    </w:p>
    <w:p w14:paraId="3C47803E" w14:textId="77777777" w:rsidR="009C37AB" w:rsidRPr="00BD0A24" w:rsidRDefault="009C37AB" w:rsidP="009C37AB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E0FADBB" w14:textId="77777777" w:rsidR="009C37AB" w:rsidRPr="00BD0A24" w:rsidRDefault="009C37AB" w:rsidP="009C37A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A24">
        <w:rPr>
          <w:rFonts w:ascii="Times New Roman" w:eastAsia="Calibri" w:hAnsi="Times New Roman" w:cs="Times New Roman"/>
          <w:bCs/>
          <w:sz w:val="24"/>
          <w:szCs w:val="24"/>
        </w:rPr>
        <w:t>Ndërkohë në Udhëzimin nr. 24, datë 02.09.2008 “Për Procedurat Tatimore në RSH”, paragrafi 23.3.1 sanksionon se “</w:t>
      </w:r>
      <w:r w:rsidRPr="00BD0A24">
        <w:rPr>
          <w:rFonts w:ascii="Times New Roman" w:eastAsia="Calibri" w:hAnsi="Times New Roman" w:cs="Times New Roman"/>
          <w:bCs/>
          <w:i/>
          <w:sz w:val="24"/>
          <w:szCs w:val="24"/>
        </w:rPr>
        <w:t>Një komunikim zyrtar me shkrim, i nisur nga administrata tatimore, nëpërmjet shërbimit postar rekomande, në adresën e tatimpaguesit, por i pambërritur ose i mbërritur me vonesë tek ky i fundit, për çfarëdo arsye, është nën përgjegjësinë e vetë tatimpaguesit</w:t>
      </w:r>
      <w:r w:rsidRPr="00BD0A24">
        <w:rPr>
          <w:rFonts w:ascii="Times New Roman" w:eastAsia="Calibri" w:hAnsi="Times New Roman" w:cs="Times New Roman"/>
          <w:bCs/>
          <w:sz w:val="24"/>
          <w:szCs w:val="24"/>
        </w:rPr>
        <w:t>”, dispozitë e cila është në vijim të nenit 23/4 të Ligjit 9920, sipas të cilit “</w:t>
      </w:r>
      <w:r w:rsidRPr="00BD0A24">
        <w:rPr>
          <w:rFonts w:ascii="Times New Roman" w:eastAsia="Calibri" w:hAnsi="Times New Roman" w:cs="Times New Roman"/>
          <w:bCs/>
          <w:i/>
          <w:sz w:val="24"/>
          <w:szCs w:val="24"/>
        </w:rPr>
        <w:t>Tatimpaguesi është i detyruar të deklarojë adresën e saktë, në mënyrë që të sigurojë marrjen në kohë të njoftimeve</w:t>
      </w:r>
      <w:r w:rsidRPr="00BD0A24">
        <w:rPr>
          <w:rFonts w:ascii="Times New Roman" w:eastAsia="Calibri" w:hAnsi="Times New Roman" w:cs="Times New Roman"/>
          <w:bCs/>
          <w:sz w:val="24"/>
          <w:szCs w:val="24"/>
        </w:rPr>
        <w:t>”.</w:t>
      </w:r>
    </w:p>
    <w:p w14:paraId="5A88A54A" w14:textId="77777777" w:rsidR="009C37AB" w:rsidRPr="00BD0A24" w:rsidRDefault="009C37AB" w:rsidP="009C37A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455DA3" w14:textId="77777777" w:rsidR="004F64B6" w:rsidRDefault="009C37AB" w:rsidP="009C37A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A24">
        <w:rPr>
          <w:rFonts w:ascii="Times New Roman" w:hAnsi="Times New Roman" w:cs="Times New Roman"/>
          <w:bCs/>
          <w:sz w:val="24"/>
          <w:szCs w:val="24"/>
        </w:rPr>
        <w:t xml:space="preserve">Referuar dispozitave të mësipërme, një akt i nisur nga administrata tatimore, vlerësohet të jetë marrë nga tatimpaguesi jo më vonë se 10 ditë nga data e dërgimit të aktit në shërbimin postar. Mosmarrja e njoftimeve brenda 10 ditëve është nën përgjegjësinë e tatimpaguesit, sipas përcaktimeve të Udhëzimit të Ministrit të Financave. </w:t>
      </w:r>
    </w:p>
    <w:p w14:paraId="41C8E929" w14:textId="77777777" w:rsidR="000A7B0D" w:rsidRDefault="000A7B0D" w:rsidP="009C37A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39F73A" w14:textId="53A5992B" w:rsidR="009C37AB" w:rsidRPr="00BD0A24" w:rsidRDefault="009C37AB" w:rsidP="009C37A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D0A24">
        <w:rPr>
          <w:rFonts w:ascii="Times New Roman" w:hAnsi="Times New Roman" w:cs="Times New Roman"/>
          <w:bCs/>
          <w:sz w:val="24"/>
          <w:szCs w:val="24"/>
        </w:rPr>
        <w:t xml:space="preserve">Nga dita e 10 e dërgimit të aktit në shërbimin postar nga administrata tatimore, tatimpaguesit i fillojnë afatet për të drejtat apo detyrimet që prodhohen nga ai akt, pavarësisht nëse ky akt nuk është marrë nga tatimpaguesi brenda këtij afati. Kjo bëhet më e qartë nëse i referohemi pikës 23.3.1. të Udhëzimit nr. 24 datë 02.09.2008, ku përcaktohet se </w:t>
      </w:r>
      <w:r w:rsidRPr="00BD0A24">
        <w:rPr>
          <w:rFonts w:ascii="Times New Roman" w:hAnsi="Times New Roman" w:cs="Times New Roman"/>
          <w:bCs/>
          <w:i/>
          <w:sz w:val="24"/>
          <w:szCs w:val="24"/>
        </w:rPr>
        <w:t xml:space="preserve">“Për llogaritjen e afatit edhe për qëllime të ankimit administrativ, llogaritja e afatit fillon nga e nesërmja e ditës kur akti është marrë ose konsiderohet të jetë marrë nga tatimpaguesi. Në rastin kur akti që ka nxjerrë administrata tatimore </w:t>
      </w:r>
      <w:r w:rsidRPr="00BD0A24">
        <w:rPr>
          <w:rFonts w:ascii="Times New Roman" w:hAnsi="Times New Roman" w:cs="Times New Roman"/>
          <w:bCs/>
          <w:i/>
          <w:sz w:val="24"/>
          <w:szCs w:val="24"/>
        </w:rPr>
        <w:lastRenderedPageBreak/>
        <w:t>mban datën 1 shtator dhe pranohet nga shërbimi postar për t’iu dërguar tatimpaguesit më datë 2 shtator dhe nga ky i fundit provohet se është marrë më datë 7 shtator, llogaritja e afatit fillon nga data 8 shtator ose në rastet kur akti konsiderohet të jetë marrë në ditën e dhjetë pas datës së dërgimit të tij, atëherë afati fillon në datën 13 shtator”.</w:t>
      </w:r>
    </w:p>
    <w:p w14:paraId="15CE42C4" w14:textId="77777777" w:rsidR="009C37AB" w:rsidRDefault="009C37AB" w:rsidP="009C37A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3F94E6" w14:textId="77777777" w:rsidR="000A7B0D" w:rsidRDefault="002171DB" w:rsidP="002171DB">
      <w:pPr>
        <w:widowControl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2246A">
        <w:rPr>
          <w:rFonts w:ascii="Times New Roman" w:hAnsi="Times New Roman"/>
          <w:bCs/>
          <w:sz w:val="24"/>
          <w:szCs w:val="24"/>
        </w:rPr>
        <w:t>Dispozitat e mësipërme nuk zbatohen vetëm nëse njoftim vlerësimi është dërguar në adresë të gabuar nga administrata tatimore, referuar pikës 106.3.1 të Udhëzimit Nr.24, datë 02.09.2008, ku përcaktohet se “</w:t>
      </w:r>
      <w:r w:rsidRPr="0002246A">
        <w:rPr>
          <w:rFonts w:ascii="Times New Roman" w:hAnsi="Times New Roman"/>
          <w:bCs/>
          <w:i/>
          <w:sz w:val="24"/>
          <w:szCs w:val="24"/>
        </w:rPr>
        <w:t>Nëse tatimpaguesi nuk e ka marrë njoftim vlerësimin për shkak të një gabimi në njoftim nga administrata tatimore, afati 30 ditor i ankimit fillon në ditën kur marrësi provon nëpërmjet dokumentacionit përkatës se ka marrë dijeni për njoftimin</w:t>
      </w:r>
      <w:r w:rsidRPr="0002246A">
        <w:rPr>
          <w:rFonts w:ascii="Times New Roman" w:hAnsi="Times New Roman"/>
          <w:bCs/>
          <w:sz w:val="24"/>
          <w:szCs w:val="24"/>
        </w:rPr>
        <w:t xml:space="preserve">”. Në të tilla raste, data e marrjes dijeni nuk konsiderohet dita e dhjetë pas datës së dërgimit të njoftim vlerësimit, por data kur ai është marrë realisht dhe afati i ankimit fillon nga kjo datë. </w:t>
      </w:r>
    </w:p>
    <w:p w14:paraId="7CD61E3D" w14:textId="184E8E1F" w:rsidR="002171DB" w:rsidRPr="0002246A" w:rsidRDefault="002171DB" w:rsidP="002171DB">
      <w:pPr>
        <w:widowControl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2246A">
        <w:rPr>
          <w:rFonts w:ascii="Times New Roman" w:hAnsi="Times New Roman"/>
          <w:bCs/>
          <w:sz w:val="24"/>
          <w:szCs w:val="24"/>
        </w:rPr>
        <w:t>Ndërsa referuar konfirmimit të DRT si dhe kopje</w:t>
      </w:r>
      <w:r>
        <w:rPr>
          <w:rFonts w:ascii="Times New Roman" w:hAnsi="Times New Roman"/>
          <w:bCs/>
          <w:sz w:val="24"/>
          <w:szCs w:val="24"/>
        </w:rPr>
        <w:t>s</w:t>
      </w:r>
      <w:r w:rsidRPr="0002246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</w:t>
      </w:r>
      <w:r w:rsidRPr="0002246A">
        <w:rPr>
          <w:rFonts w:ascii="Times New Roman" w:hAnsi="Times New Roman"/>
          <w:bCs/>
          <w:sz w:val="24"/>
          <w:szCs w:val="24"/>
        </w:rPr>
        <w:t>ë zarf</w:t>
      </w:r>
      <w:r>
        <w:rPr>
          <w:rFonts w:ascii="Times New Roman" w:hAnsi="Times New Roman"/>
          <w:bCs/>
          <w:sz w:val="24"/>
          <w:szCs w:val="24"/>
        </w:rPr>
        <w:t>it</w:t>
      </w:r>
      <w:r w:rsidRPr="0002246A">
        <w:rPr>
          <w:rFonts w:ascii="Times New Roman" w:hAnsi="Times New Roman"/>
          <w:bCs/>
          <w:sz w:val="24"/>
          <w:szCs w:val="24"/>
        </w:rPr>
        <w:t xml:space="preserve"> postar vënë në dispozicion nga tatimpaguesi, adresa ku </w:t>
      </w:r>
      <w:r w:rsidR="000A7B0D">
        <w:rPr>
          <w:rFonts w:ascii="Times New Roman" w:hAnsi="Times New Roman"/>
          <w:bCs/>
          <w:sz w:val="24"/>
          <w:szCs w:val="24"/>
        </w:rPr>
        <w:t>ë</w:t>
      </w:r>
      <w:r>
        <w:rPr>
          <w:rFonts w:ascii="Times New Roman" w:hAnsi="Times New Roman"/>
          <w:bCs/>
          <w:sz w:val="24"/>
          <w:szCs w:val="24"/>
        </w:rPr>
        <w:t>sht</w:t>
      </w:r>
      <w:r w:rsidR="000A7B0D">
        <w:rPr>
          <w:rFonts w:ascii="Times New Roman" w:hAnsi="Times New Roman"/>
          <w:bCs/>
          <w:sz w:val="24"/>
          <w:szCs w:val="24"/>
        </w:rPr>
        <w:t>ë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2246A">
        <w:rPr>
          <w:rFonts w:ascii="Times New Roman" w:hAnsi="Times New Roman"/>
          <w:bCs/>
          <w:sz w:val="24"/>
          <w:szCs w:val="24"/>
        </w:rPr>
        <w:t>dërguar Njoftim Vlerësim</w:t>
      </w:r>
      <w:r>
        <w:rPr>
          <w:rFonts w:ascii="Times New Roman" w:hAnsi="Times New Roman"/>
          <w:bCs/>
          <w:sz w:val="24"/>
          <w:szCs w:val="24"/>
        </w:rPr>
        <w:t>i i ankimuar,</w:t>
      </w:r>
      <w:r w:rsidRPr="0002246A">
        <w:rPr>
          <w:rFonts w:ascii="Times New Roman" w:hAnsi="Times New Roman"/>
          <w:bCs/>
          <w:sz w:val="24"/>
          <w:szCs w:val="24"/>
        </w:rPr>
        <w:t xml:space="preserve"> përputhe</w:t>
      </w:r>
      <w:r>
        <w:rPr>
          <w:rFonts w:ascii="Times New Roman" w:hAnsi="Times New Roman"/>
          <w:bCs/>
          <w:sz w:val="24"/>
          <w:szCs w:val="24"/>
        </w:rPr>
        <w:t>t</w:t>
      </w:r>
      <w:r w:rsidRPr="0002246A">
        <w:rPr>
          <w:rFonts w:ascii="Times New Roman" w:hAnsi="Times New Roman"/>
          <w:bCs/>
          <w:sz w:val="24"/>
          <w:szCs w:val="24"/>
        </w:rPr>
        <w:t xml:space="preserve"> tërësisht me adresën e vetëdeklaruar nga tatimpaguesi në QKB.</w:t>
      </w:r>
    </w:p>
    <w:p w14:paraId="4298D953" w14:textId="77777777" w:rsidR="002171DB" w:rsidRDefault="002171DB" w:rsidP="009C37A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E412C0" w14:textId="21C59BBF" w:rsidR="009C37AB" w:rsidRPr="00BD0A24" w:rsidRDefault="009C37AB" w:rsidP="009C37A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A24">
        <w:rPr>
          <w:rFonts w:ascii="Times New Roman" w:hAnsi="Times New Roman" w:cs="Times New Roman"/>
          <w:bCs/>
          <w:sz w:val="24"/>
          <w:szCs w:val="24"/>
        </w:rPr>
        <w:t xml:space="preserve">Akti administrativ është nisur në shërbimin postar në datën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A1444C">
        <w:rPr>
          <w:rFonts w:ascii="Times New Roman" w:hAnsi="Times New Roman" w:cs="Times New Roman"/>
          <w:bCs/>
          <w:sz w:val="24"/>
          <w:szCs w:val="24"/>
        </w:rPr>
        <w:t>8</w:t>
      </w:r>
      <w:r w:rsidRPr="00BD0A24">
        <w:rPr>
          <w:rFonts w:ascii="Times New Roman" w:hAnsi="Times New Roman" w:cs="Times New Roman"/>
          <w:bCs/>
          <w:sz w:val="24"/>
          <w:szCs w:val="24"/>
        </w:rPr>
        <w:t>.0</w:t>
      </w:r>
      <w:r w:rsidR="004F64B6">
        <w:rPr>
          <w:rFonts w:ascii="Times New Roman" w:hAnsi="Times New Roman" w:cs="Times New Roman"/>
          <w:bCs/>
          <w:sz w:val="24"/>
          <w:szCs w:val="24"/>
        </w:rPr>
        <w:t>7</w:t>
      </w:r>
      <w:r w:rsidRPr="00BD0A24">
        <w:rPr>
          <w:rFonts w:ascii="Times New Roman" w:hAnsi="Times New Roman" w:cs="Times New Roman"/>
          <w:bCs/>
          <w:sz w:val="24"/>
          <w:szCs w:val="24"/>
        </w:rPr>
        <w:t xml:space="preserve">.2021 në adresën e deklaruar nga vetë tatimpaguesi në Q.K.B. dhe vlerësohet të jetë marrë ditën e dhjetë pas datës së dërgimit të aktit administrativ në shërbimin postar, më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4F64B6">
        <w:rPr>
          <w:rFonts w:ascii="Times New Roman" w:hAnsi="Times New Roman" w:cs="Times New Roman"/>
          <w:bCs/>
          <w:sz w:val="24"/>
          <w:szCs w:val="24"/>
        </w:rPr>
        <w:t>7</w:t>
      </w:r>
      <w:r w:rsidRPr="00BD0A24">
        <w:rPr>
          <w:rFonts w:ascii="Times New Roman" w:hAnsi="Times New Roman" w:cs="Times New Roman"/>
          <w:bCs/>
          <w:sz w:val="24"/>
          <w:szCs w:val="24"/>
        </w:rPr>
        <w:t>.</w:t>
      </w:r>
      <w:r w:rsidR="004F64B6">
        <w:rPr>
          <w:rFonts w:ascii="Times New Roman" w:hAnsi="Times New Roman" w:cs="Times New Roman"/>
          <w:bCs/>
          <w:sz w:val="24"/>
          <w:szCs w:val="24"/>
        </w:rPr>
        <w:t>08</w:t>
      </w:r>
      <w:r w:rsidRPr="00BD0A24">
        <w:rPr>
          <w:rFonts w:ascii="Times New Roman" w:hAnsi="Times New Roman" w:cs="Times New Roman"/>
          <w:bCs/>
          <w:sz w:val="24"/>
          <w:szCs w:val="24"/>
        </w:rPr>
        <w:t xml:space="preserve">.2021. Në këtë datë fillon të ecë afati prej 30 ditësh i ankimit të tatimpaguesit ndaj aktit administrativ. Afati i fundit i dorëzimit të ankimimit është në datën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4F64B6">
        <w:rPr>
          <w:rFonts w:ascii="Times New Roman" w:hAnsi="Times New Roman" w:cs="Times New Roman"/>
          <w:bCs/>
          <w:sz w:val="24"/>
          <w:szCs w:val="24"/>
        </w:rPr>
        <w:t>6</w:t>
      </w:r>
      <w:r w:rsidRPr="00BD0A24">
        <w:rPr>
          <w:rFonts w:ascii="Times New Roman" w:hAnsi="Times New Roman" w:cs="Times New Roman"/>
          <w:bCs/>
          <w:sz w:val="24"/>
          <w:szCs w:val="24"/>
        </w:rPr>
        <w:t>.0</w:t>
      </w:r>
      <w:r w:rsidR="004F64B6">
        <w:rPr>
          <w:rFonts w:ascii="Times New Roman" w:hAnsi="Times New Roman" w:cs="Times New Roman"/>
          <w:bCs/>
          <w:sz w:val="24"/>
          <w:szCs w:val="24"/>
        </w:rPr>
        <w:t>9</w:t>
      </w:r>
      <w:r w:rsidRPr="00BD0A24">
        <w:rPr>
          <w:rFonts w:ascii="Times New Roman" w:hAnsi="Times New Roman" w:cs="Times New Roman"/>
          <w:bCs/>
          <w:sz w:val="24"/>
          <w:szCs w:val="24"/>
        </w:rPr>
        <w:t xml:space="preserve">.2021, ndërsa ankimi </w:t>
      </w:r>
      <w:r>
        <w:rPr>
          <w:rFonts w:ascii="Times New Roman" w:hAnsi="Times New Roman" w:cs="Times New Roman"/>
          <w:bCs/>
          <w:sz w:val="24"/>
          <w:szCs w:val="24"/>
        </w:rPr>
        <w:t xml:space="preserve">është dërguar në shërbimin postar në datën </w:t>
      </w:r>
      <w:r w:rsidR="004F64B6">
        <w:rPr>
          <w:rFonts w:ascii="Times New Roman" w:hAnsi="Times New Roman" w:cs="Times New Roman"/>
          <w:bCs/>
          <w:sz w:val="24"/>
          <w:szCs w:val="24"/>
        </w:rPr>
        <w:t>14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4F64B6">
        <w:rPr>
          <w:rFonts w:ascii="Times New Roman" w:hAnsi="Times New Roman" w:cs="Times New Roman"/>
          <w:bCs/>
          <w:sz w:val="24"/>
          <w:szCs w:val="24"/>
        </w:rPr>
        <w:t>0</w:t>
      </w:r>
      <w:r w:rsidR="00A1444C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4F64B6">
        <w:rPr>
          <w:rFonts w:ascii="Times New Roman" w:hAnsi="Times New Roman" w:cs="Times New Roman"/>
          <w:bCs/>
          <w:sz w:val="24"/>
          <w:szCs w:val="24"/>
        </w:rPr>
        <w:t>4</w:t>
      </w:r>
      <w:r w:rsidRPr="00BD0A24">
        <w:rPr>
          <w:rFonts w:ascii="Times New Roman" w:hAnsi="Times New Roman" w:cs="Times New Roman"/>
          <w:bCs/>
          <w:sz w:val="24"/>
          <w:szCs w:val="24"/>
        </w:rPr>
        <w:t>, pra jashtë afatit të përcaktuar në dispozitat e sipërcituara.</w:t>
      </w:r>
    </w:p>
    <w:p w14:paraId="5CB01668" w14:textId="77777777" w:rsidR="009C37AB" w:rsidRPr="00BD0A24" w:rsidRDefault="009C37AB" w:rsidP="009C37A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5878A2" w14:textId="77777777" w:rsidR="009C37AB" w:rsidRDefault="009C37AB" w:rsidP="009C37A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D0A24">
        <w:rPr>
          <w:rFonts w:ascii="Times New Roman" w:hAnsi="Times New Roman" w:cs="Times New Roman"/>
          <w:bCs/>
          <w:sz w:val="24"/>
          <w:szCs w:val="24"/>
        </w:rPr>
        <w:t xml:space="preserve">Udhëzimi nr. 24 datë 02.09.2008 “Për Proçedurat Tatimore në R.SH.”, paragrafi 106.3.4. parashikon se </w:t>
      </w:r>
      <w:r w:rsidRPr="00BD0A24">
        <w:rPr>
          <w:rFonts w:ascii="Times New Roman" w:hAnsi="Times New Roman" w:cs="Times New Roman"/>
          <w:bCs/>
          <w:i/>
          <w:sz w:val="24"/>
          <w:szCs w:val="24"/>
        </w:rPr>
        <w:t>“Në qoftë se ankimi pranë Drejtorisë së Apelimit Tatimor nuk bëhet brenda afatit të caktuar, ai konsiderohet i papranueshëm dhe refuzohet”.</w:t>
      </w:r>
    </w:p>
    <w:p w14:paraId="290C2049" w14:textId="77777777" w:rsidR="004F64B6" w:rsidRDefault="004F64B6" w:rsidP="009C37A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540CFA4" w14:textId="377D9ADD" w:rsidR="0066470E" w:rsidRPr="008F095A" w:rsidRDefault="0066470E" w:rsidP="009C37AB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5A">
        <w:rPr>
          <w:rFonts w:ascii="Times New Roman" w:hAnsi="Times New Roman" w:cs="Times New Roman"/>
          <w:sz w:val="24"/>
          <w:szCs w:val="24"/>
        </w:rPr>
        <w:t xml:space="preserve">Sa më sipër, Drejtoria e Apelimit Tatimor bazuar në Ligjin Nr.9920, datë 19.5.2008 “Për Procedurat Tatimore në R.Sh-së ”, i ndryshuar, nenet 106, 107, 108 dhe Udhëzimin Nr.24, datë 02.09.2008 (i ndryshuar), në zbatim të tij, pika 108.3.3,  gërma </w:t>
      </w:r>
      <w:r w:rsidR="000A7B0D">
        <w:rPr>
          <w:rFonts w:ascii="Times New Roman" w:hAnsi="Times New Roman" w:cs="Times New Roman"/>
          <w:sz w:val="24"/>
          <w:szCs w:val="24"/>
        </w:rPr>
        <w:t>(</w:t>
      </w:r>
      <w:r w:rsidRPr="008F095A">
        <w:rPr>
          <w:rFonts w:ascii="Times New Roman" w:hAnsi="Times New Roman" w:cs="Times New Roman"/>
          <w:sz w:val="24"/>
          <w:szCs w:val="24"/>
        </w:rPr>
        <w:t>a</w:t>
      </w:r>
      <w:r w:rsidR="000A7B0D">
        <w:rPr>
          <w:rFonts w:ascii="Times New Roman" w:hAnsi="Times New Roman" w:cs="Times New Roman"/>
          <w:sz w:val="24"/>
          <w:szCs w:val="24"/>
        </w:rPr>
        <w:t>)</w:t>
      </w:r>
      <w:r w:rsidRPr="008F095A">
        <w:rPr>
          <w:rFonts w:ascii="Times New Roman" w:hAnsi="Times New Roman" w:cs="Times New Roman"/>
          <w:sz w:val="24"/>
          <w:szCs w:val="24"/>
        </w:rPr>
        <w:t>,</w:t>
      </w:r>
    </w:p>
    <w:p w14:paraId="326AA583" w14:textId="77777777" w:rsidR="0066470E" w:rsidRPr="008F095A" w:rsidRDefault="0066470E" w:rsidP="009C37AB">
      <w:pPr>
        <w:widowControl w:val="0"/>
        <w:spacing w:after="0" w:line="276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05C71C0" w14:textId="77777777" w:rsidR="0066470E" w:rsidRDefault="0066470E" w:rsidP="009C37AB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95A">
        <w:rPr>
          <w:rFonts w:ascii="Times New Roman" w:hAnsi="Times New Roman" w:cs="Times New Roman"/>
          <w:b/>
          <w:sz w:val="24"/>
          <w:szCs w:val="24"/>
        </w:rPr>
        <w:t xml:space="preserve">V E N D O S I </w:t>
      </w:r>
    </w:p>
    <w:p w14:paraId="3584A074" w14:textId="77777777" w:rsidR="00A1444C" w:rsidRPr="008F095A" w:rsidRDefault="00A1444C" w:rsidP="009C37AB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C437B" w14:textId="1A7505E1" w:rsidR="0066470E" w:rsidRPr="008F095A" w:rsidRDefault="0066470E" w:rsidP="009C37AB">
      <w:pPr>
        <w:pStyle w:val="ListParagraph"/>
        <w:widowControl w:val="0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B0D">
        <w:rPr>
          <w:rFonts w:ascii="Times New Roman" w:hAnsi="Times New Roman" w:cs="Times New Roman"/>
          <w:b/>
          <w:sz w:val="24"/>
          <w:szCs w:val="24"/>
        </w:rPr>
        <w:t xml:space="preserve">Refuzimin e ankimit, </w:t>
      </w:r>
      <w:r w:rsidR="000A7B0D" w:rsidRPr="000A7B0D">
        <w:rPr>
          <w:rFonts w:ascii="Times New Roman" w:hAnsi="Times New Roman" w:cs="Times New Roman"/>
          <w:b/>
          <w:sz w:val="24"/>
          <w:szCs w:val="24"/>
        </w:rPr>
        <w:t xml:space="preserve">ndaj </w:t>
      </w:r>
      <w:r w:rsidRPr="000A7B0D">
        <w:rPr>
          <w:rFonts w:ascii="Times New Roman" w:hAnsi="Times New Roman" w:cs="Times New Roman"/>
          <w:b/>
          <w:sz w:val="24"/>
          <w:szCs w:val="24"/>
        </w:rPr>
        <w:t>akti</w:t>
      </w:r>
      <w:r w:rsidR="000A7B0D" w:rsidRPr="000A7B0D">
        <w:rPr>
          <w:rFonts w:ascii="Times New Roman" w:hAnsi="Times New Roman" w:cs="Times New Roman"/>
          <w:b/>
          <w:sz w:val="24"/>
          <w:szCs w:val="24"/>
        </w:rPr>
        <w:t>t</w:t>
      </w:r>
      <w:r w:rsidRPr="000A7B0D">
        <w:rPr>
          <w:rFonts w:ascii="Times New Roman" w:hAnsi="Times New Roman" w:cs="Times New Roman"/>
          <w:b/>
          <w:sz w:val="24"/>
          <w:szCs w:val="24"/>
        </w:rPr>
        <w:t xml:space="preserve"> administrativ</w:t>
      </w:r>
      <w:r w:rsidR="000A7B0D">
        <w:rPr>
          <w:rFonts w:ascii="Times New Roman" w:hAnsi="Times New Roman" w:cs="Times New Roman"/>
          <w:sz w:val="24"/>
          <w:szCs w:val="24"/>
        </w:rPr>
        <w:t>,</w:t>
      </w:r>
      <w:r w:rsidRPr="008F095A">
        <w:rPr>
          <w:rFonts w:ascii="Times New Roman" w:hAnsi="Times New Roman" w:cs="Times New Roman"/>
          <w:sz w:val="24"/>
          <w:szCs w:val="24"/>
        </w:rPr>
        <w:t xml:space="preserve"> Njoftim Vlerësimi</w:t>
      </w:r>
      <w:r w:rsidR="000A7B0D">
        <w:rPr>
          <w:rFonts w:ascii="Times New Roman" w:hAnsi="Times New Roman" w:cs="Times New Roman"/>
          <w:sz w:val="24"/>
          <w:szCs w:val="24"/>
        </w:rPr>
        <w:t>t</w:t>
      </w:r>
      <w:r w:rsidRPr="008F095A">
        <w:rPr>
          <w:rFonts w:ascii="Times New Roman" w:hAnsi="Times New Roman" w:cs="Times New Roman"/>
          <w:sz w:val="24"/>
          <w:szCs w:val="24"/>
        </w:rPr>
        <w:t xml:space="preserve"> për detyrimet </w:t>
      </w:r>
      <w:r w:rsidRPr="008F09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tatimore</w:t>
      </w:r>
      <w:r w:rsidR="00F479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te</w:t>
      </w:r>
      <w:r w:rsidRPr="008F09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datë</w:t>
      </w:r>
      <w:r w:rsidR="00F479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8F09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A7B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23</w:t>
      </w:r>
      <w:r w:rsidRPr="008F09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.0</w:t>
      </w:r>
      <w:r w:rsidR="000A7B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Pr="008F09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</w:t>
      </w:r>
      <w:r w:rsidR="000A7B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8F09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8F095A">
        <w:rPr>
          <w:rFonts w:ascii="Times New Roman" w:hAnsi="Times New Roman" w:cs="Times New Roman"/>
          <w:sz w:val="24"/>
          <w:szCs w:val="24"/>
        </w:rPr>
        <w:t xml:space="preserve">pasi nuk janë </w:t>
      </w:r>
      <w:r w:rsidR="000A7B0D">
        <w:rPr>
          <w:rFonts w:ascii="Times New Roman" w:hAnsi="Times New Roman" w:cs="Times New Roman"/>
          <w:sz w:val="24"/>
          <w:szCs w:val="24"/>
        </w:rPr>
        <w:t>respektuar</w:t>
      </w:r>
      <w:r w:rsidRPr="008F095A">
        <w:rPr>
          <w:rFonts w:ascii="Times New Roman" w:hAnsi="Times New Roman" w:cs="Times New Roman"/>
          <w:sz w:val="24"/>
          <w:szCs w:val="24"/>
        </w:rPr>
        <w:t xml:space="preserve"> kërk</w:t>
      </w:r>
      <w:r w:rsidR="00A1444C">
        <w:rPr>
          <w:rFonts w:ascii="Times New Roman" w:hAnsi="Times New Roman" w:cs="Times New Roman"/>
          <w:sz w:val="24"/>
          <w:szCs w:val="24"/>
        </w:rPr>
        <w:t>esat e përcaktuara në nenin 106,</w:t>
      </w:r>
      <w:r w:rsidRPr="008F095A">
        <w:rPr>
          <w:rFonts w:ascii="Times New Roman" w:hAnsi="Times New Roman" w:cs="Times New Roman"/>
          <w:sz w:val="24"/>
          <w:szCs w:val="24"/>
        </w:rPr>
        <w:t xml:space="preserve"> lidhur m</w:t>
      </w:r>
      <w:r w:rsidR="00A1444C">
        <w:rPr>
          <w:rFonts w:ascii="Times New Roman" w:hAnsi="Times New Roman" w:cs="Times New Roman"/>
          <w:sz w:val="24"/>
          <w:szCs w:val="24"/>
        </w:rPr>
        <w:t>e paraqitjen në afat të ankimit</w:t>
      </w:r>
    </w:p>
    <w:p w14:paraId="3D858825" w14:textId="77777777" w:rsidR="001A41FC" w:rsidRPr="008F095A" w:rsidRDefault="001A41FC" w:rsidP="009C37AB">
      <w:pPr>
        <w:widowControl w:val="0"/>
        <w:tabs>
          <w:tab w:val="left" w:pos="12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4D1B3" w14:textId="77777777" w:rsidR="00F15022" w:rsidRPr="008F095A" w:rsidRDefault="00F15022" w:rsidP="009C37AB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5A">
        <w:rPr>
          <w:rFonts w:ascii="Times New Roman" w:hAnsi="Times New Roman" w:cs="Times New Roman"/>
          <w:sz w:val="24"/>
          <w:szCs w:val="24"/>
        </w:rPr>
        <w:t>Në zbatim të pikës 2 të nenit 109 të Ligjit nr. 9920 datë 19.05.2008, “Për Proçedurat Tatimore në R.Sh”, tatimpaguesi mund t’a kundërshtojë vendimin e Drejtorisë së Apelimit Tatimor në gjykatë brenda 30 ditëve kalendarike nga data e marrjes dijeni për këtë vendim.</w:t>
      </w:r>
    </w:p>
    <w:p w14:paraId="69184E3F" w14:textId="77777777" w:rsidR="000A7B0D" w:rsidRPr="008F095A" w:rsidRDefault="000A7B0D" w:rsidP="009C37AB">
      <w:pPr>
        <w:pStyle w:val="Header"/>
        <w:widowControl w:val="0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A49F5" w14:textId="77777777" w:rsidR="00F15022" w:rsidRPr="008F095A" w:rsidRDefault="00F15022" w:rsidP="009C37AB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95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DREJTOR I APELIMIT TATIMOR </w:t>
      </w:r>
    </w:p>
    <w:p w14:paraId="4D53F9F8" w14:textId="77777777" w:rsidR="00F15022" w:rsidRPr="008F095A" w:rsidRDefault="00F15022" w:rsidP="009C37AB">
      <w:pPr>
        <w:widowControl w:val="0"/>
        <w:spacing w:after="0" w:line="276" w:lineRule="auto"/>
        <w:ind w:lef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15022" w:rsidRPr="008F095A" w:rsidSect="00180223">
      <w:footerReference w:type="default" r:id="rId10"/>
      <w:pgSz w:w="11907" w:h="16839" w:code="9"/>
      <w:pgMar w:top="1134" w:right="992" w:bottom="1134" w:left="1418" w:header="709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E095A" w14:textId="77777777" w:rsidR="00826799" w:rsidRDefault="00826799" w:rsidP="006725DD">
      <w:pPr>
        <w:spacing w:after="0" w:line="240" w:lineRule="auto"/>
      </w:pPr>
      <w:r>
        <w:separator/>
      </w:r>
    </w:p>
  </w:endnote>
  <w:endnote w:type="continuationSeparator" w:id="0">
    <w:p w14:paraId="5BEF8A53" w14:textId="77777777" w:rsidR="00826799" w:rsidRDefault="00826799" w:rsidP="0067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51B97" w14:textId="77777777" w:rsidR="006C39A3" w:rsidRPr="006725DD" w:rsidRDefault="006C39A3" w:rsidP="006725DD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center"/>
      <w:rPr>
        <w:rFonts w:ascii="Times New Roman" w:hAnsi="Times New Roman" w:cs="Times New Roman"/>
        <w:color w:val="404040" w:themeColor="text1" w:themeTint="BF"/>
      </w:rPr>
    </w:pPr>
    <w:r w:rsidRPr="006725DD">
      <w:rPr>
        <w:rFonts w:ascii="Times New Roman" w:hAnsi="Times New Roman" w:cs="Times New Roman"/>
        <w:color w:val="404040" w:themeColor="text1" w:themeTint="BF"/>
      </w:rPr>
      <w:t xml:space="preserve">Bulevardi “Dëshmorët e Kombit”, nr. 3, </w:t>
    </w:r>
    <w:hyperlink r:id="rId1" w:history="1">
      <w:r w:rsidRPr="006725DD">
        <w:rPr>
          <w:rStyle w:val="Hyperlink"/>
          <w:rFonts w:ascii="Times New Roman" w:hAnsi="Times New Roman" w:cs="Times New Roman"/>
        </w:rPr>
        <w:t>www.financa.gov.al</w:t>
      </w:r>
    </w:hyperlink>
    <w:r w:rsidR="00245AA1">
      <w:rPr>
        <w:rFonts w:ascii="Times New Roman" w:hAnsi="Times New Roman" w:cs="Times New Roman"/>
        <w:color w:val="404040" w:themeColor="text1" w:themeTint="BF"/>
      </w:rPr>
      <w:t xml:space="preserve">                              </w:t>
    </w:r>
    <w:r w:rsidR="00B002DE">
      <w:rPr>
        <w:rFonts w:ascii="Times New Roman" w:hAnsi="Times New Roman" w:cs="Times New Roman"/>
        <w:color w:val="404040" w:themeColor="text1" w:themeTint="BF"/>
      </w:rPr>
      <w:t xml:space="preserve">                     </w:t>
    </w:r>
    <w:r w:rsidR="008F4166" w:rsidRPr="006725DD">
      <w:rPr>
        <w:rFonts w:ascii="Times New Roman" w:hAnsi="Times New Roman" w:cs="Times New Roman"/>
        <w:color w:val="404040" w:themeColor="text1" w:themeTint="BF"/>
      </w:rPr>
      <w:fldChar w:fldCharType="begin"/>
    </w:r>
    <w:r w:rsidRPr="006725DD">
      <w:rPr>
        <w:rFonts w:ascii="Times New Roman" w:hAnsi="Times New Roman" w:cs="Times New Roman"/>
        <w:color w:val="404040" w:themeColor="text1" w:themeTint="BF"/>
      </w:rPr>
      <w:instrText xml:space="preserve"> PAGE   \* MERGEFORMAT </w:instrText>
    </w:r>
    <w:r w:rsidR="008F4166" w:rsidRPr="006725DD">
      <w:rPr>
        <w:rFonts w:ascii="Times New Roman" w:hAnsi="Times New Roman" w:cs="Times New Roman"/>
        <w:color w:val="404040" w:themeColor="text1" w:themeTint="BF"/>
      </w:rPr>
      <w:fldChar w:fldCharType="separate"/>
    </w:r>
    <w:r w:rsidR="002F1173">
      <w:rPr>
        <w:rFonts w:ascii="Times New Roman" w:hAnsi="Times New Roman" w:cs="Times New Roman"/>
        <w:color w:val="404040" w:themeColor="text1" w:themeTint="BF"/>
      </w:rPr>
      <w:t>4</w:t>
    </w:r>
    <w:r w:rsidR="008F4166" w:rsidRPr="006725DD">
      <w:rPr>
        <w:rFonts w:ascii="Times New Roman" w:hAnsi="Times New Roman" w:cs="Times New Roman"/>
        <w:color w:val="404040" w:themeColor="text1" w:themeTint="BF"/>
      </w:rPr>
      <w:fldChar w:fldCharType="end"/>
    </w:r>
  </w:p>
  <w:p w14:paraId="16403F22" w14:textId="77777777" w:rsidR="006C39A3" w:rsidRDefault="006C3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27655" w14:textId="77777777" w:rsidR="00826799" w:rsidRDefault="00826799" w:rsidP="006725DD">
      <w:pPr>
        <w:spacing w:after="0" w:line="240" w:lineRule="auto"/>
      </w:pPr>
      <w:r>
        <w:separator/>
      </w:r>
    </w:p>
  </w:footnote>
  <w:footnote w:type="continuationSeparator" w:id="0">
    <w:p w14:paraId="14742D3F" w14:textId="77777777" w:rsidR="00826799" w:rsidRDefault="00826799" w:rsidP="00672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1247D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117A73"/>
    <w:multiLevelType w:val="hybridMultilevel"/>
    <w:tmpl w:val="273ECF5A"/>
    <w:lvl w:ilvl="0" w:tplc="918E93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C3927"/>
    <w:multiLevelType w:val="hybridMultilevel"/>
    <w:tmpl w:val="F6F835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0412B"/>
    <w:multiLevelType w:val="hybridMultilevel"/>
    <w:tmpl w:val="A03EE2E4"/>
    <w:lvl w:ilvl="0" w:tplc="5022930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075C1"/>
    <w:multiLevelType w:val="hybridMultilevel"/>
    <w:tmpl w:val="71DEAF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76C9B"/>
    <w:multiLevelType w:val="hybridMultilevel"/>
    <w:tmpl w:val="7952B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62B49"/>
    <w:multiLevelType w:val="hybridMultilevel"/>
    <w:tmpl w:val="E45AE01E"/>
    <w:lvl w:ilvl="0" w:tplc="76F2B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1174E2"/>
    <w:multiLevelType w:val="hybridMultilevel"/>
    <w:tmpl w:val="C22830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B4518"/>
    <w:multiLevelType w:val="hybridMultilevel"/>
    <w:tmpl w:val="B7A00F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469FC"/>
    <w:multiLevelType w:val="hybridMultilevel"/>
    <w:tmpl w:val="6700F4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8103F"/>
    <w:multiLevelType w:val="hybridMultilevel"/>
    <w:tmpl w:val="09102E30"/>
    <w:lvl w:ilvl="0" w:tplc="502AC57E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E430D"/>
    <w:multiLevelType w:val="hybridMultilevel"/>
    <w:tmpl w:val="DEECBBC6"/>
    <w:lvl w:ilvl="0" w:tplc="9C726A8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35FE8"/>
    <w:multiLevelType w:val="hybridMultilevel"/>
    <w:tmpl w:val="4D2052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804B8"/>
    <w:multiLevelType w:val="hybridMultilevel"/>
    <w:tmpl w:val="27D690DC"/>
    <w:lvl w:ilvl="0" w:tplc="A52401F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06BD4"/>
    <w:multiLevelType w:val="hybridMultilevel"/>
    <w:tmpl w:val="084A54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C5795"/>
    <w:multiLevelType w:val="hybridMultilevel"/>
    <w:tmpl w:val="687AAA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819DF"/>
    <w:multiLevelType w:val="hybridMultilevel"/>
    <w:tmpl w:val="747A02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D5A03"/>
    <w:multiLevelType w:val="hybridMultilevel"/>
    <w:tmpl w:val="B81469D8"/>
    <w:lvl w:ilvl="0" w:tplc="FFD2CF9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0546E"/>
    <w:multiLevelType w:val="hybridMultilevel"/>
    <w:tmpl w:val="F0080EB8"/>
    <w:lvl w:ilvl="0" w:tplc="3962EEB4">
      <w:start w:val="96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95942">
    <w:abstractNumId w:val="8"/>
  </w:num>
  <w:num w:numId="2" w16cid:durableId="448665666">
    <w:abstractNumId w:val="10"/>
  </w:num>
  <w:num w:numId="3" w16cid:durableId="712969409">
    <w:abstractNumId w:val="16"/>
  </w:num>
  <w:num w:numId="4" w16cid:durableId="929702909">
    <w:abstractNumId w:val="17"/>
  </w:num>
  <w:num w:numId="5" w16cid:durableId="726954137">
    <w:abstractNumId w:val="15"/>
  </w:num>
  <w:num w:numId="6" w16cid:durableId="840848508">
    <w:abstractNumId w:val="3"/>
  </w:num>
  <w:num w:numId="7" w16cid:durableId="969827952">
    <w:abstractNumId w:val="13"/>
  </w:num>
  <w:num w:numId="8" w16cid:durableId="1884631831">
    <w:abstractNumId w:val="0"/>
  </w:num>
  <w:num w:numId="9" w16cid:durableId="616721694">
    <w:abstractNumId w:val="4"/>
  </w:num>
  <w:num w:numId="10" w16cid:durableId="1137063312">
    <w:abstractNumId w:val="7"/>
  </w:num>
  <w:num w:numId="11" w16cid:durableId="612787594">
    <w:abstractNumId w:val="1"/>
  </w:num>
  <w:num w:numId="12" w16cid:durableId="2080713913">
    <w:abstractNumId w:val="12"/>
  </w:num>
  <w:num w:numId="13" w16cid:durableId="22676483">
    <w:abstractNumId w:val="6"/>
  </w:num>
  <w:num w:numId="14" w16cid:durableId="1699549961">
    <w:abstractNumId w:val="5"/>
  </w:num>
  <w:num w:numId="15" w16cid:durableId="2065058105">
    <w:abstractNumId w:val="11"/>
  </w:num>
  <w:num w:numId="16" w16cid:durableId="1966350185">
    <w:abstractNumId w:val="9"/>
  </w:num>
  <w:num w:numId="17" w16cid:durableId="551115718">
    <w:abstractNumId w:val="18"/>
  </w:num>
  <w:num w:numId="18" w16cid:durableId="3167662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0224533">
    <w:abstractNumId w:val="14"/>
  </w:num>
  <w:num w:numId="20" w16cid:durableId="1814053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051"/>
    <w:rsid w:val="000008C0"/>
    <w:rsid w:val="0000176C"/>
    <w:rsid w:val="000045A5"/>
    <w:rsid w:val="00004A5B"/>
    <w:rsid w:val="00007EB9"/>
    <w:rsid w:val="00023A63"/>
    <w:rsid w:val="000260C8"/>
    <w:rsid w:val="00026C28"/>
    <w:rsid w:val="00052A68"/>
    <w:rsid w:val="000607FF"/>
    <w:rsid w:val="00070B71"/>
    <w:rsid w:val="00070BF3"/>
    <w:rsid w:val="00077891"/>
    <w:rsid w:val="00080CD2"/>
    <w:rsid w:val="000834A7"/>
    <w:rsid w:val="0009239C"/>
    <w:rsid w:val="000A38D6"/>
    <w:rsid w:val="000A7B0D"/>
    <w:rsid w:val="000B24F4"/>
    <w:rsid w:val="000D7F60"/>
    <w:rsid w:val="0010209D"/>
    <w:rsid w:val="00104B84"/>
    <w:rsid w:val="001108B7"/>
    <w:rsid w:val="001132CC"/>
    <w:rsid w:val="00115E03"/>
    <w:rsid w:val="00116242"/>
    <w:rsid w:val="00133625"/>
    <w:rsid w:val="001375AF"/>
    <w:rsid w:val="0014363F"/>
    <w:rsid w:val="0016279D"/>
    <w:rsid w:val="001636CD"/>
    <w:rsid w:val="001643BB"/>
    <w:rsid w:val="001734CD"/>
    <w:rsid w:val="00173903"/>
    <w:rsid w:val="00175346"/>
    <w:rsid w:val="00180223"/>
    <w:rsid w:val="0019132E"/>
    <w:rsid w:val="001966C4"/>
    <w:rsid w:val="001A3EA2"/>
    <w:rsid w:val="001A41FC"/>
    <w:rsid w:val="001A5BD8"/>
    <w:rsid w:val="001A6468"/>
    <w:rsid w:val="001C0616"/>
    <w:rsid w:val="001D4A29"/>
    <w:rsid w:val="001E2E3B"/>
    <w:rsid w:val="001E5E51"/>
    <w:rsid w:val="001F68B2"/>
    <w:rsid w:val="00205904"/>
    <w:rsid w:val="002140EC"/>
    <w:rsid w:val="002160CD"/>
    <w:rsid w:val="002171DB"/>
    <w:rsid w:val="00226A1F"/>
    <w:rsid w:val="00230104"/>
    <w:rsid w:val="00233BEB"/>
    <w:rsid w:val="0023413F"/>
    <w:rsid w:val="00245AA1"/>
    <w:rsid w:val="002551C7"/>
    <w:rsid w:val="00256E0C"/>
    <w:rsid w:val="00261EAC"/>
    <w:rsid w:val="00267547"/>
    <w:rsid w:val="00274823"/>
    <w:rsid w:val="0028577F"/>
    <w:rsid w:val="00285D28"/>
    <w:rsid w:val="0029651C"/>
    <w:rsid w:val="002A4BD4"/>
    <w:rsid w:val="002A7F6C"/>
    <w:rsid w:val="002B5AA9"/>
    <w:rsid w:val="002B73F3"/>
    <w:rsid w:val="002C0A53"/>
    <w:rsid w:val="002C3AB6"/>
    <w:rsid w:val="002C60DA"/>
    <w:rsid w:val="002E1D61"/>
    <w:rsid w:val="002E3652"/>
    <w:rsid w:val="002E5748"/>
    <w:rsid w:val="002F1173"/>
    <w:rsid w:val="002F22AC"/>
    <w:rsid w:val="002F284E"/>
    <w:rsid w:val="003072D8"/>
    <w:rsid w:val="00311F3C"/>
    <w:rsid w:val="003162C9"/>
    <w:rsid w:val="00320703"/>
    <w:rsid w:val="00341B2C"/>
    <w:rsid w:val="00341EF9"/>
    <w:rsid w:val="003460CA"/>
    <w:rsid w:val="003766A4"/>
    <w:rsid w:val="00385CDA"/>
    <w:rsid w:val="003874DD"/>
    <w:rsid w:val="00391E1B"/>
    <w:rsid w:val="003A36C1"/>
    <w:rsid w:val="003A74D5"/>
    <w:rsid w:val="003D1D1E"/>
    <w:rsid w:val="003D3DC0"/>
    <w:rsid w:val="003D552C"/>
    <w:rsid w:val="003E4697"/>
    <w:rsid w:val="003F3148"/>
    <w:rsid w:val="0042493F"/>
    <w:rsid w:val="0043006E"/>
    <w:rsid w:val="00437951"/>
    <w:rsid w:val="00454BB6"/>
    <w:rsid w:val="00455067"/>
    <w:rsid w:val="00466008"/>
    <w:rsid w:val="0046772A"/>
    <w:rsid w:val="00481806"/>
    <w:rsid w:val="004A6C9D"/>
    <w:rsid w:val="004B0D3E"/>
    <w:rsid w:val="004B2D89"/>
    <w:rsid w:val="004C599E"/>
    <w:rsid w:val="004E6F5D"/>
    <w:rsid w:val="004F4FAF"/>
    <w:rsid w:val="004F64B6"/>
    <w:rsid w:val="004F6CFB"/>
    <w:rsid w:val="00507A25"/>
    <w:rsid w:val="00512761"/>
    <w:rsid w:val="00517051"/>
    <w:rsid w:val="0051712A"/>
    <w:rsid w:val="005318EC"/>
    <w:rsid w:val="0053436A"/>
    <w:rsid w:val="00535E87"/>
    <w:rsid w:val="005370F5"/>
    <w:rsid w:val="0053790E"/>
    <w:rsid w:val="00543B7B"/>
    <w:rsid w:val="005607CA"/>
    <w:rsid w:val="00566A82"/>
    <w:rsid w:val="00575E26"/>
    <w:rsid w:val="00586919"/>
    <w:rsid w:val="00586CD0"/>
    <w:rsid w:val="005A1D3E"/>
    <w:rsid w:val="005A410C"/>
    <w:rsid w:val="005B2E8E"/>
    <w:rsid w:val="005C4397"/>
    <w:rsid w:val="005D4586"/>
    <w:rsid w:val="005F49AF"/>
    <w:rsid w:val="00607500"/>
    <w:rsid w:val="006302D1"/>
    <w:rsid w:val="00632C4F"/>
    <w:rsid w:val="006377A8"/>
    <w:rsid w:val="00643FAC"/>
    <w:rsid w:val="0065381F"/>
    <w:rsid w:val="00663281"/>
    <w:rsid w:val="0066470E"/>
    <w:rsid w:val="00667BB0"/>
    <w:rsid w:val="006725DD"/>
    <w:rsid w:val="006862EC"/>
    <w:rsid w:val="006A63FA"/>
    <w:rsid w:val="006B0659"/>
    <w:rsid w:val="006C39A3"/>
    <w:rsid w:val="006C6398"/>
    <w:rsid w:val="006C6CCF"/>
    <w:rsid w:val="006C6D1B"/>
    <w:rsid w:val="006C7CC9"/>
    <w:rsid w:val="006E0F24"/>
    <w:rsid w:val="006E3E08"/>
    <w:rsid w:val="006F1A54"/>
    <w:rsid w:val="00704C61"/>
    <w:rsid w:val="007179DF"/>
    <w:rsid w:val="00733AF8"/>
    <w:rsid w:val="00736466"/>
    <w:rsid w:val="007409A7"/>
    <w:rsid w:val="0075122C"/>
    <w:rsid w:val="00755664"/>
    <w:rsid w:val="00755BDF"/>
    <w:rsid w:val="00757DBB"/>
    <w:rsid w:val="0076045A"/>
    <w:rsid w:val="00773BD1"/>
    <w:rsid w:val="0079459D"/>
    <w:rsid w:val="007967E8"/>
    <w:rsid w:val="007A239B"/>
    <w:rsid w:val="007A58FD"/>
    <w:rsid w:val="007A704C"/>
    <w:rsid w:val="007B214A"/>
    <w:rsid w:val="007B6AFD"/>
    <w:rsid w:val="007B7A99"/>
    <w:rsid w:val="007D08AF"/>
    <w:rsid w:val="007D2FEC"/>
    <w:rsid w:val="007E05E5"/>
    <w:rsid w:val="007E261C"/>
    <w:rsid w:val="007E5E76"/>
    <w:rsid w:val="007E76F3"/>
    <w:rsid w:val="007F2A21"/>
    <w:rsid w:val="007F3B6C"/>
    <w:rsid w:val="007F5679"/>
    <w:rsid w:val="00802815"/>
    <w:rsid w:val="00810948"/>
    <w:rsid w:val="00814366"/>
    <w:rsid w:val="008147C3"/>
    <w:rsid w:val="008162D6"/>
    <w:rsid w:val="00817DE1"/>
    <w:rsid w:val="00826799"/>
    <w:rsid w:val="00826E08"/>
    <w:rsid w:val="008310DB"/>
    <w:rsid w:val="00832A3B"/>
    <w:rsid w:val="008409F9"/>
    <w:rsid w:val="0085441A"/>
    <w:rsid w:val="008639D2"/>
    <w:rsid w:val="00865E78"/>
    <w:rsid w:val="00873364"/>
    <w:rsid w:val="0089018A"/>
    <w:rsid w:val="008956ED"/>
    <w:rsid w:val="008B1C90"/>
    <w:rsid w:val="008C015E"/>
    <w:rsid w:val="008C3747"/>
    <w:rsid w:val="008D3BE9"/>
    <w:rsid w:val="008E10FF"/>
    <w:rsid w:val="008F095A"/>
    <w:rsid w:val="008F12E6"/>
    <w:rsid w:val="008F4166"/>
    <w:rsid w:val="008F681C"/>
    <w:rsid w:val="008F6F03"/>
    <w:rsid w:val="0090187C"/>
    <w:rsid w:val="009075C8"/>
    <w:rsid w:val="00911981"/>
    <w:rsid w:val="0092012D"/>
    <w:rsid w:val="00924021"/>
    <w:rsid w:val="009340DF"/>
    <w:rsid w:val="00942093"/>
    <w:rsid w:val="00955695"/>
    <w:rsid w:val="00956C06"/>
    <w:rsid w:val="00983BB3"/>
    <w:rsid w:val="009969D9"/>
    <w:rsid w:val="009A18DC"/>
    <w:rsid w:val="009A22BB"/>
    <w:rsid w:val="009A28D8"/>
    <w:rsid w:val="009B4F0F"/>
    <w:rsid w:val="009C37AB"/>
    <w:rsid w:val="009C7F4E"/>
    <w:rsid w:val="009D5C8C"/>
    <w:rsid w:val="009E3B33"/>
    <w:rsid w:val="00A00C80"/>
    <w:rsid w:val="00A0539B"/>
    <w:rsid w:val="00A1444C"/>
    <w:rsid w:val="00A16DD1"/>
    <w:rsid w:val="00A20D4D"/>
    <w:rsid w:val="00A25898"/>
    <w:rsid w:val="00A25BC9"/>
    <w:rsid w:val="00A3682C"/>
    <w:rsid w:val="00A36E9F"/>
    <w:rsid w:val="00A5015B"/>
    <w:rsid w:val="00A51C8C"/>
    <w:rsid w:val="00A53F78"/>
    <w:rsid w:val="00A76EE6"/>
    <w:rsid w:val="00A91520"/>
    <w:rsid w:val="00A94535"/>
    <w:rsid w:val="00A9669B"/>
    <w:rsid w:val="00AA0347"/>
    <w:rsid w:val="00AB2615"/>
    <w:rsid w:val="00AC03F6"/>
    <w:rsid w:val="00AD2E11"/>
    <w:rsid w:val="00AE040E"/>
    <w:rsid w:val="00AF6A3E"/>
    <w:rsid w:val="00B002DE"/>
    <w:rsid w:val="00B05BF7"/>
    <w:rsid w:val="00B10304"/>
    <w:rsid w:val="00B244D0"/>
    <w:rsid w:val="00B26F1A"/>
    <w:rsid w:val="00B405B4"/>
    <w:rsid w:val="00B43879"/>
    <w:rsid w:val="00B524AA"/>
    <w:rsid w:val="00B525CD"/>
    <w:rsid w:val="00B623BB"/>
    <w:rsid w:val="00B6418A"/>
    <w:rsid w:val="00B67C09"/>
    <w:rsid w:val="00B7595E"/>
    <w:rsid w:val="00BD73CF"/>
    <w:rsid w:val="00BE249E"/>
    <w:rsid w:val="00BF5F50"/>
    <w:rsid w:val="00C022CF"/>
    <w:rsid w:val="00C024B9"/>
    <w:rsid w:val="00C22798"/>
    <w:rsid w:val="00C30548"/>
    <w:rsid w:val="00C32090"/>
    <w:rsid w:val="00C345A1"/>
    <w:rsid w:val="00C37F3C"/>
    <w:rsid w:val="00C551A3"/>
    <w:rsid w:val="00C57B5F"/>
    <w:rsid w:val="00C61AB8"/>
    <w:rsid w:val="00C62507"/>
    <w:rsid w:val="00C6573F"/>
    <w:rsid w:val="00C745FF"/>
    <w:rsid w:val="00C853D7"/>
    <w:rsid w:val="00C930B7"/>
    <w:rsid w:val="00CA701A"/>
    <w:rsid w:val="00CB1525"/>
    <w:rsid w:val="00CB68EE"/>
    <w:rsid w:val="00CB754F"/>
    <w:rsid w:val="00CC35C5"/>
    <w:rsid w:val="00CC47A8"/>
    <w:rsid w:val="00CC7724"/>
    <w:rsid w:val="00CD6F04"/>
    <w:rsid w:val="00CD7177"/>
    <w:rsid w:val="00CE199D"/>
    <w:rsid w:val="00CF4388"/>
    <w:rsid w:val="00D001F9"/>
    <w:rsid w:val="00D008AA"/>
    <w:rsid w:val="00D00E02"/>
    <w:rsid w:val="00D05BDF"/>
    <w:rsid w:val="00D128F7"/>
    <w:rsid w:val="00D172F8"/>
    <w:rsid w:val="00D17EF0"/>
    <w:rsid w:val="00D204C8"/>
    <w:rsid w:val="00D21C17"/>
    <w:rsid w:val="00D256E7"/>
    <w:rsid w:val="00D3134D"/>
    <w:rsid w:val="00D44CE6"/>
    <w:rsid w:val="00D56FDB"/>
    <w:rsid w:val="00D75CB4"/>
    <w:rsid w:val="00D831D8"/>
    <w:rsid w:val="00D83942"/>
    <w:rsid w:val="00D87DFE"/>
    <w:rsid w:val="00D96FA9"/>
    <w:rsid w:val="00DA6552"/>
    <w:rsid w:val="00DB296F"/>
    <w:rsid w:val="00DC0E2D"/>
    <w:rsid w:val="00DC3C9E"/>
    <w:rsid w:val="00DC50D6"/>
    <w:rsid w:val="00DC61B1"/>
    <w:rsid w:val="00DD29CA"/>
    <w:rsid w:val="00DF0640"/>
    <w:rsid w:val="00DF65DF"/>
    <w:rsid w:val="00DF6E0C"/>
    <w:rsid w:val="00DF74B6"/>
    <w:rsid w:val="00E063A1"/>
    <w:rsid w:val="00E20433"/>
    <w:rsid w:val="00E22EC1"/>
    <w:rsid w:val="00E27958"/>
    <w:rsid w:val="00E36774"/>
    <w:rsid w:val="00E5790F"/>
    <w:rsid w:val="00E677AE"/>
    <w:rsid w:val="00E74ED1"/>
    <w:rsid w:val="00E83C61"/>
    <w:rsid w:val="00E91DDE"/>
    <w:rsid w:val="00E954B1"/>
    <w:rsid w:val="00EB2F3E"/>
    <w:rsid w:val="00EB7A42"/>
    <w:rsid w:val="00ED3244"/>
    <w:rsid w:val="00ED39E2"/>
    <w:rsid w:val="00EE078F"/>
    <w:rsid w:val="00EF4992"/>
    <w:rsid w:val="00F04243"/>
    <w:rsid w:val="00F04AAF"/>
    <w:rsid w:val="00F04AE4"/>
    <w:rsid w:val="00F05977"/>
    <w:rsid w:val="00F10955"/>
    <w:rsid w:val="00F118F9"/>
    <w:rsid w:val="00F13AC0"/>
    <w:rsid w:val="00F15022"/>
    <w:rsid w:val="00F155F0"/>
    <w:rsid w:val="00F20E35"/>
    <w:rsid w:val="00F2301B"/>
    <w:rsid w:val="00F24E98"/>
    <w:rsid w:val="00F32FD8"/>
    <w:rsid w:val="00F34480"/>
    <w:rsid w:val="00F44EAE"/>
    <w:rsid w:val="00F479A3"/>
    <w:rsid w:val="00F71535"/>
    <w:rsid w:val="00F754D7"/>
    <w:rsid w:val="00F917C3"/>
    <w:rsid w:val="00FA630A"/>
    <w:rsid w:val="00FB45AA"/>
    <w:rsid w:val="00FB6A6C"/>
    <w:rsid w:val="00FB6C33"/>
    <w:rsid w:val="00FC6DB3"/>
    <w:rsid w:val="00FE51C8"/>
    <w:rsid w:val="00FF30E3"/>
    <w:rsid w:val="00FF5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07811"/>
  <w15:docId w15:val="{3690ED99-E6DD-4699-A7A4-2C9C2641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 Char,Char,Intestazione.int"/>
    <w:basedOn w:val="Normal"/>
    <w:link w:val="HeaderChar"/>
    <w:unhideWhenUsed/>
    <w:rsid w:val="00672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,Char Char,Intestazione.int Char"/>
    <w:basedOn w:val="DefaultParagraphFont"/>
    <w:link w:val="Header"/>
    <w:rsid w:val="006725DD"/>
  </w:style>
  <w:style w:type="paragraph" w:styleId="Footer">
    <w:name w:val="footer"/>
    <w:basedOn w:val="Normal"/>
    <w:link w:val="FooterChar"/>
    <w:uiPriority w:val="99"/>
    <w:unhideWhenUsed/>
    <w:qFormat/>
    <w:rsid w:val="00672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5DD"/>
  </w:style>
  <w:style w:type="character" w:styleId="Hyperlink">
    <w:name w:val="Hyperlink"/>
    <w:basedOn w:val="DefaultParagraphFont"/>
    <w:uiPriority w:val="99"/>
    <w:unhideWhenUsed/>
    <w:rsid w:val="006725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7CC9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D2E11"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2D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9C7F4E"/>
    <w:pPr>
      <w:spacing w:after="0" w:line="240" w:lineRule="auto"/>
      <w:jc w:val="both"/>
    </w:pPr>
    <w:rPr>
      <w:rFonts w:ascii="Arial" w:eastAsia="MS Mincho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C7F4E"/>
    <w:rPr>
      <w:rFonts w:ascii="Arial" w:eastAsia="MS Mincho" w:hAnsi="Arial" w:cs="Times New Roman"/>
      <w:noProof/>
      <w:sz w:val="24"/>
      <w:szCs w:val="20"/>
      <w:lang w:val="sq-AL"/>
    </w:rPr>
  </w:style>
  <w:style w:type="paragraph" w:customStyle="1" w:styleId="Default">
    <w:name w:val="Default"/>
    <w:rsid w:val="009C7F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anc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32D8D-7681-4FF8-9FD9-64B4892B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Julvit Shazivari</dc:creator>
  <cp:keywords/>
  <dc:description/>
  <cp:lastModifiedBy>julvit shazivari</cp:lastModifiedBy>
  <cp:revision>3</cp:revision>
  <cp:lastPrinted>2022-03-28T14:06:00Z</cp:lastPrinted>
  <dcterms:created xsi:type="dcterms:W3CDTF">2024-12-27T09:49:00Z</dcterms:created>
  <dcterms:modified xsi:type="dcterms:W3CDTF">2024-12-27T09:52:00Z</dcterms:modified>
</cp:coreProperties>
</file>