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0CC1B" w14:textId="77777777" w:rsidR="008A255F" w:rsidRPr="00A017AC" w:rsidRDefault="008A255F" w:rsidP="008A255F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1FF3173B" w14:textId="36A8D198" w:rsidR="008A255F" w:rsidRPr="00A017AC" w:rsidRDefault="00BB2CFD" w:rsidP="00D547A5">
      <w:pPr>
        <w:spacing w:line="276" w:lineRule="auto"/>
        <w:jc w:val="center"/>
        <w:rPr>
          <w:rFonts w:asciiTheme="majorBidi" w:hAnsiTheme="majorBidi" w:cstheme="majorBidi"/>
          <w:b/>
          <w:lang w:val="sq-AL"/>
        </w:rPr>
      </w:pPr>
      <w:r>
        <w:rPr>
          <w:rFonts w:asciiTheme="majorBidi" w:hAnsiTheme="majorBidi" w:cstheme="majorBidi"/>
          <w:b/>
          <w:lang w:val="sq-AL"/>
        </w:rPr>
        <w:t>MBI RAPORTIN E MONITORIMIT P</w:t>
      </w:r>
      <w:r w:rsidR="00895DCE">
        <w:rPr>
          <w:rFonts w:asciiTheme="majorBidi" w:hAnsiTheme="majorBidi" w:cstheme="majorBidi"/>
          <w:b/>
          <w:lang w:val="sq-AL"/>
        </w:rPr>
        <w:t>Ë</w:t>
      </w:r>
      <w:r>
        <w:rPr>
          <w:rFonts w:asciiTheme="majorBidi" w:hAnsiTheme="majorBidi" w:cstheme="majorBidi"/>
          <w:b/>
          <w:lang w:val="sq-AL"/>
        </w:rPr>
        <w:t xml:space="preserve">R </w:t>
      </w:r>
      <w:r w:rsidR="005742B3">
        <w:rPr>
          <w:rFonts w:asciiTheme="majorBidi" w:hAnsiTheme="majorBidi" w:cstheme="majorBidi"/>
          <w:b/>
          <w:lang w:val="sq-AL"/>
        </w:rPr>
        <w:t>8</w:t>
      </w:r>
      <w:r w:rsidR="00F14D48">
        <w:rPr>
          <w:rFonts w:asciiTheme="majorBidi" w:hAnsiTheme="majorBidi" w:cstheme="majorBidi"/>
          <w:b/>
          <w:lang w:val="sq-AL"/>
        </w:rPr>
        <w:t xml:space="preserve"> MUJORIN E </w:t>
      </w:r>
      <w:r w:rsidR="008A255F" w:rsidRPr="00A017AC">
        <w:rPr>
          <w:rFonts w:asciiTheme="majorBidi" w:hAnsiTheme="majorBidi" w:cstheme="majorBidi"/>
          <w:b/>
          <w:caps/>
          <w:lang w:val="sq-AL"/>
        </w:rPr>
        <w:t>viti</w:t>
      </w:r>
      <w:r w:rsidR="00F14D48">
        <w:rPr>
          <w:rFonts w:asciiTheme="majorBidi" w:hAnsiTheme="majorBidi" w:cstheme="majorBidi"/>
          <w:b/>
          <w:caps/>
          <w:lang w:val="sq-AL"/>
        </w:rPr>
        <w:t>T</w:t>
      </w:r>
      <w:r w:rsidR="008A255F" w:rsidRPr="00A017AC">
        <w:rPr>
          <w:rFonts w:asciiTheme="majorBidi" w:hAnsiTheme="majorBidi" w:cstheme="majorBidi"/>
          <w:b/>
          <w:caps/>
          <w:lang w:val="sq-AL"/>
        </w:rPr>
        <w:t xml:space="preserve"> 20</w:t>
      </w:r>
      <w:r>
        <w:rPr>
          <w:rFonts w:asciiTheme="majorBidi" w:hAnsiTheme="majorBidi" w:cstheme="majorBidi"/>
          <w:b/>
          <w:caps/>
          <w:lang w:val="sq-AL"/>
        </w:rPr>
        <w:t>2</w:t>
      </w:r>
      <w:r w:rsidR="00F14D48">
        <w:rPr>
          <w:rFonts w:asciiTheme="majorBidi" w:hAnsiTheme="majorBidi" w:cstheme="majorBidi"/>
          <w:b/>
          <w:caps/>
          <w:lang w:val="sq-AL"/>
        </w:rPr>
        <w:t>4</w:t>
      </w:r>
    </w:p>
    <w:p w14:paraId="4BCEE9CE" w14:textId="77777777" w:rsidR="008A255F" w:rsidRPr="00A017AC" w:rsidRDefault="008A255F" w:rsidP="008A255F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>PËR KËSHILLIN E LARTË GJYQËSOR</w:t>
      </w:r>
    </w:p>
    <w:p w14:paraId="5BEC6697" w14:textId="77777777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lang w:val="sq-AL"/>
        </w:rPr>
      </w:pPr>
    </w:p>
    <w:p w14:paraId="17289822" w14:textId="77777777" w:rsidR="008A255F" w:rsidRPr="00A017AC" w:rsidRDefault="008A255F" w:rsidP="008A255F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 xml:space="preserve">Vlerësim i përgjithshëm </w:t>
      </w:r>
    </w:p>
    <w:p w14:paraId="0B610BB3" w14:textId="5C168DB1" w:rsidR="008A255F" w:rsidRDefault="009B16B1" w:rsidP="008A255F">
      <w:pPr>
        <w:tabs>
          <w:tab w:val="left" w:pos="2160"/>
        </w:tabs>
        <w:spacing w:after="200" w:line="276" w:lineRule="auto"/>
        <w:jc w:val="both"/>
        <w:rPr>
          <w:bCs/>
          <w:lang w:val="sq-AL"/>
        </w:rPr>
      </w:pPr>
      <w:r w:rsidRPr="009B16B1">
        <w:rPr>
          <w:lang w:val="sq-AL"/>
        </w:rPr>
        <w:t xml:space="preserve">Fondet buxhetore </w:t>
      </w:r>
      <w:r w:rsidR="00BA6F4B">
        <w:rPr>
          <w:lang w:val="sq-AL"/>
        </w:rPr>
        <w:t>të</w:t>
      </w:r>
      <w:r>
        <w:rPr>
          <w:b/>
          <w:lang w:val="sq-AL"/>
        </w:rPr>
        <w:t xml:space="preserve"> </w:t>
      </w:r>
      <w:r w:rsidR="008A255F" w:rsidRPr="00A017AC">
        <w:rPr>
          <w:b/>
          <w:lang w:val="sq-AL"/>
        </w:rPr>
        <w:t>Këshilli</w:t>
      </w:r>
      <w:r>
        <w:rPr>
          <w:b/>
          <w:lang w:val="sq-AL"/>
        </w:rPr>
        <w:t>t të</w:t>
      </w:r>
      <w:r w:rsidR="008A255F" w:rsidRPr="00A017AC">
        <w:rPr>
          <w:b/>
          <w:lang w:val="sq-AL"/>
        </w:rPr>
        <w:t xml:space="preserve"> Lartë Gjyqësor</w:t>
      </w:r>
      <w:r w:rsidRPr="00762CD6">
        <w:rPr>
          <w:lang w:val="sq-AL"/>
        </w:rPr>
        <w:t>,</w:t>
      </w:r>
      <w:r w:rsidR="008A255F" w:rsidRPr="00A017AC">
        <w:rPr>
          <w:bCs/>
          <w:lang w:val="sq-AL"/>
        </w:rPr>
        <w:t xml:space="preserve"> </w:t>
      </w:r>
      <w:r w:rsidR="00BB2CFD">
        <w:rPr>
          <w:bCs/>
          <w:lang w:val="sq-AL"/>
        </w:rPr>
        <w:t>për viti</w:t>
      </w:r>
      <w:r w:rsidR="00510FE6">
        <w:rPr>
          <w:bCs/>
          <w:lang w:val="sq-AL"/>
        </w:rPr>
        <w:t>n</w:t>
      </w:r>
      <w:r>
        <w:rPr>
          <w:bCs/>
          <w:lang w:val="sq-AL"/>
        </w:rPr>
        <w:t xml:space="preserve"> 202</w:t>
      </w:r>
      <w:r w:rsidR="004A72D8">
        <w:rPr>
          <w:bCs/>
          <w:lang w:val="sq-AL"/>
        </w:rPr>
        <w:t>4</w:t>
      </w:r>
      <w:r>
        <w:rPr>
          <w:bCs/>
          <w:lang w:val="sq-AL"/>
        </w:rPr>
        <w:t>,</w:t>
      </w:r>
      <w:r w:rsidR="008A255F" w:rsidRPr="00A017AC">
        <w:rPr>
          <w:bCs/>
          <w:lang w:val="sq-AL"/>
        </w:rPr>
        <w:t xml:space="preserve"> </w:t>
      </w:r>
      <w:r>
        <w:rPr>
          <w:bCs/>
          <w:lang w:val="sq-AL"/>
        </w:rPr>
        <w:t>janë miratuar në tre programe buxhetore</w:t>
      </w:r>
      <w:r w:rsidR="008A255F" w:rsidRPr="00A017AC">
        <w:rPr>
          <w:bCs/>
          <w:lang w:val="sq-AL"/>
        </w:rPr>
        <w:t>:</w:t>
      </w:r>
    </w:p>
    <w:p w14:paraId="250A801C" w14:textId="77777777" w:rsidR="008A255F" w:rsidRPr="00A017AC" w:rsidRDefault="008A255F" w:rsidP="008A255F">
      <w:pPr>
        <w:pStyle w:val="Subtitle"/>
        <w:numPr>
          <w:ilvl w:val="1"/>
          <w:numId w:val="1"/>
        </w:numPr>
        <w:tabs>
          <w:tab w:val="num" w:pos="1620"/>
          <w:tab w:val="left" w:pos="2160"/>
        </w:tabs>
        <w:spacing w:after="0" w:line="276" w:lineRule="auto"/>
        <w:jc w:val="both"/>
        <w:outlineLvl w:val="9"/>
        <w:rPr>
          <w:rFonts w:ascii="Times New Roman" w:hAnsi="Times New Roman" w:cs="Times New Roman"/>
          <w:bCs/>
          <w:lang w:val="sq-AL"/>
        </w:rPr>
      </w:pPr>
      <w:r w:rsidRPr="00A017AC">
        <w:rPr>
          <w:rFonts w:ascii="Times New Roman" w:hAnsi="Times New Roman" w:cs="Times New Roman"/>
          <w:bCs/>
          <w:lang w:val="sq-AL"/>
        </w:rPr>
        <w:t xml:space="preserve">Planifikimi, menaxhimi dhe administrimi </w:t>
      </w:r>
    </w:p>
    <w:p w14:paraId="1EE180D9" w14:textId="77777777" w:rsidR="008A255F" w:rsidRPr="009B16B1" w:rsidRDefault="008A255F" w:rsidP="008A255F">
      <w:pPr>
        <w:pStyle w:val="Subtitle"/>
        <w:numPr>
          <w:ilvl w:val="1"/>
          <w:numId w:val="1"/>
        </w:numPr>
        <w:tabs>
          <w:tab w:val="num" w:pos="1620"/>
          <w:tab w:val="left" w:pos="2160"/>
        </w:tabs>
        <w:spacing w:after="0" w:line="276" w:lineRule="auto"/>
        <w:jc w:val="both"/>
        <w:outlineLvl w:val="9"/>
        <w:rPr>
          <w:bCs/>
          <w:lang w:val="sq-AL"/>
        </w:rPr>
      </w:pPr>
      <w:r w:rsidRPr="00A017AC">
        <w:rPr>
          <w:rFonts w:ascii="Times New Roman" w:hAnsi="Times New Roman" w:cs="Times New Roman"/>
          <w:bCs/>
          <w:lang w:val="sq-AL"/>
        </w:rPr>
        <w:t>Buxheti Gjyqësor</w:t>
      </w:r>
    </w:p>
    <w:p w14:paraId="003C921D" w14:textId="7B48474F" w:rsidR="00550ADB" w:rsidRPr="00B16680" w:rsidRDefault="009B16B1" w:rsidP="00B16680">
      <w:pPr>
        <w:pStyle w:val="Subtitle"/>
        <w:numPr>
          <w:ilvl w:val="1"/>
          <w:numId w:val="1"/>
        </w:numPr>
        <w:tabs>
          <w:tab w:val="num" w:pos="1620"/>
          <w:tab w:val="left" w:pos="2160"/>
        </w:tabs>
        <w:spacing w:line="276" w:lineRule="auto"/>
        <w:jc w:val="both"/>
        <w:outlineLvl w:val="9"/>
        <w:rPr>
          <w:bCs/>
          <w:lang w:val="sq-AL"/>
        </w:rPr>
      </w:pPr>
      <w:r>
        <w:rPr>
          <w:rFonts w:ascii="Times New Roman" w:hAnsi="Times New Roman" w:cs="Times New Roman"/>
          <w:bCs/>
          <w:lang w:val="sq-AL"/>
        </w:rPr>
        <w:t>Mbështetje pë</w:t>
      </w:r>
      <w:r w:rsidR="00B320A1">
        <w:rPr>
          <w:rFonts w:ascii="Times New Roman" w:hAnsi="Times New Roman" w:cs="Times New Roman"/>
          <w:bCs/>
          <w:lang w:val="sq-AL"/>
        </w:rPr>
        <w:t>r</w:t>
      </w:r>
      <w:r>
        <w:rPr>
          <w:rFonts w:ascii="Times New Roman" w:hAnsi="Times New Roman" w:cs="Times New Roman"/>
          <w:bCs/>
          <w:lang w:val="sq-AL"/>
        </w:rPr>
        <w:t xml:space="preserve"> teknologjinë</w:t>
      </w:r>
      <w:r w:rsidR="00B320A1">
        <w:rPr>
          <w:rFonts w:ascii="Times New Roman" w:hAnsi="Times New Roman" w:cs="Times New Roman"/>
          <w:bCs/>
          <w:lang w:val="sq-AL"/>
        </w:rPr>
        <w:t xml:space="preserve"> e</w:t>
      </w:r>
      <w:r>
        <w:rPr>
          <w:rFonts w:ascii="Times New Roman" w:hAnsi="Times New Roman" w:cs="Times New Roman"/>
          <w:bCs/>
          <w:lang w:val="sq-AL"/>
        </w:rPr>
        <w:t xml:space="preserve"> sistemit të drejtë</w:t>
      </w:r>
      <w:r w:rsidR="00B320A1">
        <w:rPr>
          <w:rFonts w:ascii="Times New Roman" w:hAnsi="Times New Roman" w:cs="Times New Roman"/>
          <w:bCs/>
          <w:lang w:val="sq-AL"/>
        </w:rPr>
        <w:t>sisë</w:t>
      </w:r>
    </w:p>
    <w:p w14:paraId="6844B5ED" w14:textId="77777777" w:rsidR="00550ADB" w:rsidRPr="00D919EE" w:rsidRDefault="00550ADB" w:rsidP="00550ADB">
      <w:pPr>
        <w:spacing w:before="120" w:after="120"/>
        <w:jc w:val="both"/>
        <w:rPr>
          <w:lang w:val="sq-AL"/>
        </w:rPr>
      </w:pPr>
      <w:r w:rsidRPr="00D919EE">
        <w:rPr>
          <w:b/>
          <w:lang w:val="sq-AL"/>
        </w:rPr>
        <w:t>Në programin “Planifikim, menaxhim dhe administrim</w:t>
      </w:r>
      <w:r w:rsidRPr="00D919EE">
        <w:rPr>
          <w:lang w:val="sq-AL"/>
        </w:rPr>
        <w:t xml:space="preserve">” Qëllimi i Politikës së Programit është </w:t>
      </w:r>
      <w:r w:rsidRPr="00D919EE">
        <w:rPr>
          <w:i/>
          <w:lang w:val="sq-AL"/>
        </w:rPr>
        <w:t>“Përmirësimi i sistemit gjyqësor nëpërmjet vendimmarrjes së Këshillit lidhur me miratimin e akteve nënligjore në zbatim të ligjeve që përbëjnë paketën e reformës në drejtësi si dhe sigurimin e burimeve dhe kapaciteteve financiare të nevojshme”.</w:t>
      </w:r>
    </w:p>
    <w:p w14:paraId="2F0432F2" w14:textId="77777777" w:rsidR="00550ADB" w:rsidRPr="00D919EE" w:rsidRDefault="00550ADB" w:rsidP="00550ADB">
      <w:pPr>
        <w:spacing w:before="120" w:after="120"/>
        <w:jc w:val="both"/>
        <w:rPr>
          <w:lang w:val="sq-AL"/>
        </w:rPr>
      </w:pPr>
      <w:r w:rsidRPr="00D919EE">
        <w:rPr>
          <w:lang w:val="sq-AL"/>
        </w:rPr>
        <w:t xml:space="preserve">Për realizimin e këtij qëllimi është përcaktuar objektivi: </w:t>
      </w:r>
    </w:p>
    <w:p w14:paraId="1368781F" w14:textId="28DCF772" w:rsidR="00550ADB" w:rsidRPr="00550ADB" w:rsidRDefault="00550ADB" w:rsidP="00550ADB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sz w:val="24"/>
          <w:szCs w:val="24"/>
          <w:lang w:val="sq-AL"/>
        </w:rPr>
      </w:pPr>
      <w:r w:rsidRPr="00D919EE">
        <w:rPr>
          <w:sz w:val="24"/>
          <w:szCs w:val="24"/>
          <w:lang w:val="sq-AL"/>
        </w:rPr>
        <w:t xml:space="preserve">“Vendosja e standardeve të larta të kapaciteteve njerëzore dhe institucionale të tij dhe përmirësimi i performancës së gjyqësorit në të tre nivelet” me </w:t>
      </w:r>
      <w:r>
        <w:rPr>
          <w:sz w:val="24"/>
          <w:szCs w:val="24"/>
          <w:lang w:val="sq-AL"/>
        </w:rPr>
        <w:t>produktin</w:t>
      </w:r>
      <w:r w:rsidRPr="00D919EE">
        <w:rPr>
          <w:sz w:val="24"/>
          <w:szCs w:val="24"/>
          <w:lang w:val="sq-AL"/>
        </w:rPr>
        <w:t>:</w:t>
      </w:r>
    </w:p>
    <w:p w14:paraId="29D4FC6E" w14:textId="77777777" w:rsidR="00550ADB" w:rsidRPr="00D919EE" w:rsidRDefault="00550ADB" w:rsidP="00550ADB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Vendime të miratuara, ku </w:t>
      </w:r>
      <w:r>
        <w:rPr>
          <w:sz w:val="24"/>
          <w:lang w:val="sq-AL"/>
        </w:rPr>
        <w:t>për</w:t>
      </w:r>
      <w:r w:rsidRPr="00895DCE">
        <w:rPr>
          <w:sz w:val="24"/>
          <w:lang w:val="sq-AL"/>
        </w:rPr>
        <w:t xml:space="preserve"> </w:t>
      </w:r>
      <w:r>
        <w:rPr>
          <w:sz w:val="24"/>
          <w:lang w:val="sq-AL"/>
        </w:rPr>
        <w:t xml:space="preserve">8 mujorin e </w:t>
      </w:r>
      <w:r w:rsidRPr="00895DCE">
        <w:rPr>
          <w:sz w:val="24"/>
          <w:lang w:val="sq-AL"/>
        </w:rPr>
        <w:t>viti</w:t>
      </w:r>
      <w:r>
        <w:rPr>
          <w:sz w:val="24"/>
          <w:lang w:val="sq-AL"/>
        </w:rPr>
        <w:t>t</w:t>
      </w:r>
      <w:r w:rsidRPr="00895DCE">
        <w:rPr>
          <w:sz w:val="24"/>
          <w:lang w:val="sq-AL"/>
        </w:rPr>
        <w:t xml:space="preserve"> 202</w:t>
      </w:r>
      <w:r>
        <w:rPr>
          <w:sz w:val="24"/>
          <w:lang w:val="sq-AL"/>
        </w:rPr>
        <w:t>4</w:t>
      </w:r>
      <w:r w:rsidRPr="00895DCE">
        <w:rPr>
          <w:sz w:val="24"/>
          <w:lang w:val="sq-AL"/>
        </w:rPr>
        <w:t xml:space="preserve"> </w:t>
      </w:r>
      <w:r>
        <w:rPr>
          <w:sz w:val="24"/>
          <w:szCs w:val="24"/>
          <w:lang w:val="sq-AL"/>
        </w:rPr>
        <w:t>janë marrë 485 vendime ose 97% e numrit vjetor të vendimeve të parashikuara, shoqëruar me një kosto prej 196 milionë lekë.</w:t>
      </w:r>
    </w:p>
    <w:p w14:paraId="6AE4C028" w14:textId="77777777" w:rsidR="00550ADB" w:rsidRPr="00D919EE" w:rsidRDefault="00550ADB" w:rsidP="00550ADB">
      <w:pPr>
        <w:tabs>
          <w:tab w:val="left" w:pos="180"/>
        </w:tabs>
        <w:spacing w:before="120" w:after="120"/>
        <w:jc w:val="both"/>
        <w:rPr>
          <w:lang w:val="sq-AL"/>
        </w:rPr>
      </w:pPr>
      <w:r w:rsidRPr="00D919EE">
        <w:rPr>
          <w:rFonts w:asciiTheme="majorBidi" w:hAnsiTheme="majorBidi" w:cstheme="majorBidi"/>
          <w:b/>
          <w:bCs/>
          <w:lang w:val="sq-AL"/>
        </w:rPr>
        <w:t>Në Programin “Buxheti Gjyqësor”</w:t>
      </w:r>
      <w:r w:rsidRPr="007B7FDB">
        <w:rPr>
          <w:rFonts w:asciiTheme="majorBidi" w:hAnsiTheme="majorBidi" w:cstheme="majorBidi"/>
          <w:bCs/>
          <w:lang w:val="sq-AL"/>
        </w:rPr>
        <w:t>,</w:t>
      </w:r>
      <w:r>
        <w:rPr>
          <w:rFonts w:asciiTheme="majorBidi" w:hAnsiTheme="majorBidi" w:cstheme="majorBidi"/>
          <w:bCs/>
          <w:lang w:val="sq-AL"/>
        </w:rPr>
        <w:t xml:space="preserve"> </w:t>
      </w:r>
      <w:r>
        <w:rPr>
          <w:lang w:val="sq-AL"/>
        </w:rPr>
        <w:t>qëllimi i p</w:t>
      </w:r>
      <w:r w:rsidRPr="00D919EE">
        <w:rPr>
          <w:lang w:val="sq-AL"/>
        </w:rPr>
        <w:t xml:space="preserve">olitikës së </w:t>
      </w:r>
      <w:r>
        <w:rPr>
          <w:lang w:val="sq-AL"/>
        </w:rPr>
        <w:t>p</w:t>
      </w:r>
      <w:r w:rsidRPr="00D919EE">
        <w:rPr>
          <w:lang w:val="sq-AL"/>
        </w:rPr>
        <w:t xml:space="preserve">rogramit “Buxheti Gjyqësor” është </w:t>
      </w:r>
      <w:r w:rsidRPr="00D919EE">
        <w:rPr>
          <w:i/>
          <w:lang w:val="sq-AL"/>
        </w:rPr>
        <w:t>“Ofrimi efikas i shërbimeve dhe punë më e mirë në gjykatat e 3 niveleve”.</w:t>
      </w:r>
      <w:r w:rsidRPr="00D919EE">
        <w:rPr>
          <w:lang w:val="sq-AL"/>
        </w:rPr>
        <w:t xml:space="preserve"> </w:t>
      </w:r>
    </w:p>
    <w:p w14:paraId="64ACA136" w14:textId="77777777" w:rsidR="00550ADB" w:rsidRPr="00D919EE" w:rsidRDefault="00550ADB" w:rsidP="00550ADB">
      <w:pPr>
        <w:spacing w:before="120" w:after="120"/>
        <w:jc w:val="both"/>
        <w:rPr>
          <w:lang w:val="sq-AL"/>
        </w:rPr>
      </w:pPr>
      <w:r w:rsidRPr="00D919EE">
        <w:rPr>
          <w:lang w:val="sq-AL"/>
        </w:rPr>
        <w:t>Për realizimin e këtij qëllimi është përcaktuar objektivi:</w:t>
      </w:r>
    </w:p>
    <w:p w14:paraId="2C2F016F" w14:textId="086402F5" w:rsidR="00550ADB" w:rsidRPr="00550ADB" w:rsidRDefault="00550ADB" w:rsidP="00550ADB">
      <w:pPr>
        <w:pStyle w:val="ListParagraph"/>
        <w:numPr>
          <w:ilvl w:val="0"/>
          <w:numId w:val="6"/>
        </w:numPr>
        <w:spacing w:before="120" w:after="120"/>
        <w:jc w:val="both"/>
        <w:rPr>
          <w:sz w:val="24"/>
          <w:szCs w:val="24"/>
          <w:lang w:val="sq-AL"/>
        </w:rPr>
      </w:pPr>
      <w:r w:rsidRPr="00D919EE">
        <w:rPr>
          <w:sz w:val="24"/>
          <w:szCs w:val="24"/>
          <w:lang w:val="sq-AL"/>
        </w:rPr>
        <w:t xml:space="preserve">“Përmirësimi i ofrimit të shërbimeve përmes novacionit dhe forcimit të strukturave dhe sistemeve të teknologjisë, që zhvillojnë koherencën, efikasitetin dhe efektshmërinë institucionale”, </w:t>
      </w:r>
      <w:r>
        <w:rPr>
          <w:sz w:val="24"/>
          <w:szCs w:val="24"/>
          <w:lang w:val="sq-AL"/>
        </w:rPr>
        <w:t>ku produkti kryesor është</w:t>
      </w:r>
      <w:r w:rsidRPr="009C7C6E">
        <w:rPr>
          <w:sz w:val="24"/>
          <w:szCs w:val="24"/>
          <w:lang w:val="sq-AL"/>
        </w:rPr>
        <w:t>:</w:t>
      </w:r>
      <w:r w:rsidRPr="00D919EE">
        <w:rPr>
          <w:sz w:val="24"/>
          <w:szCs w:val="24"/>
          <w:lang w:val="sq-AL"/>
        </w:rPr>
        <w:t xml:space="preserve"> </w:t>
      </w:r>
    </w:p>
    <w:p w14:paraId="2256CF46" w14:textId="77777777" w:rsidR="00550ADB" w:rsidRPr="00B261B8" w:rsidRDefault="00550ADB" w:rsidP="00550ADB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Çështje të gjykuara, ku </w:t>
      </w:r>
      <w:r>
        <w:rPr>
          <w:sz w:val="24"/>
          <w:lang w:val="sq-AL"/>
        </w:rPr>
        <w:t>për</w:t>
      </w:r>
      <w:r w:rsidRPr="00895DCE">
        <w:rPr>
          <w:sz w:val="24"/>
          <w:lang w:val="sq-AL"/>
        </w:rPr>
        <w:t xml:space="preserve"> </w:t>
      </w:r>
      <w:r>
        <w:rPr>
          <w:sz w:val="24"/>
          <w:lang w:val="sq-AL"/>
        </w:rPr>
        <w:t xml:space="preserve">8 mujorin e </w:t>
      </w:r>
      <w:r w:rsidRPr="00895DCE">
        <w:rPr>
          <w:sz w:val="24"/>
          <w:lang w:val="sq-AL"/>
        </w:rPr>
        <w:t>viti</w:t>
      </w:r>
      <w:r>
        <w:rPr>
          <w:sz w:val="24"/>
          <w:lang w:val="sq-AL"/>
        </w:rPr>
        <w:t>t</w:t>
      </w:r>
      <w:r w:rsidRPr="00895DCE">
        <w:rPr>
          <w:sz w:val="24"/>
          <w:lang w:val="sq-AL"/>
        </w:rPr>
        <w:t xml:space="preserve"> 202</w:t>
      </w:r>
      <w:r>
        <w:rPr>
          <w:sz w:val="24"/>
          <w:lang w:val="sq-AL"/>
        </w:rPr>
        <w:t>4</w:t>
      </w:r>
      <w:r w:rsidRPr="00895DCE">
        <w:rPr>
          <w:sz w:val="24"/>
          <w:lang w:val="sq-AL"/>
        </w:rPr>
        <w:t xml:space="preserve"> </w:t>
      </w:r>
      <w:r>
        <w:rPr>
          <w:sz w:val="24"/>
          <w:szCs w:val="24"/>
          <w:lang w:val="sq-AL"/>
        </w:rPr>
        <w:t>janë realizuar 78,118 çështje ose 53% e çështjeve të parashikuara, shoqëruar me një kosto prej 2,459 milionë lekë.</w:t>
      </w:r>
    </w:p>
    <w:p w14:paraId="66607748" w14:textId="3DE21C6E" w:rsidR="00550ADB" w:rsidRDefault="00550ADB" w:rsidP="00550ADB">
      <w:pPr>
        <w:tabs>
          <w:tab w:val="left" w:pos="2160"/>
        </w:tabs>
        <w:spacing w:line="276" w:lineRule="auto"/>
        <w:jc w:val="both"/>
        <w:rPr>
          <w:lang w:val="sq-AL"/>
        </w:rPr>
      </w:pPr>
      <w:r>
        <w:rPr>
          <w:b/>
          <w:lang w:val="sq-AL"/>
        </w:rPr>
        <w:t xml:space="preserve">Programi </w:t>
      </w:r>
      <w:r w:rsidRPr="00D919EE">
        <w:rPr>
          <w:b/>
          <w:lang w:val="sq-AL"/>
        </w:rPr>
        <w:t>buxhetor “Mbështetje për teknologjinë e sistemit të drejtësisë”</w:t>
      </w:r>
      <w:r w:rsidRPr="00D919EE">
        <w:rPr>
          <w:lang w:val="sq-AL"/>
        </w:rPr>
        <w:t>, sipas raportit të institucionit  ka për qëllim: “Përcaktim</w:t>
      </w:r>
      <w:r>
        <w:rPr>
          <w:lang w:val="sq-AL"/>
        </w:rPr>
        <w:t>i</w:t>
      </w:r>
      <w:r w:rsidRPr="00D919EE">
        <w:rPr>
          <w:lang w:val="sq-AL"/>
        </w:rPr>
        <w:t>n e prioriteteve, politikave dhe standarteve, në lidhje me sistemet e teknologjisë së informacionit në sistemin e drejtësisë”.</w:t>
      </w:r>
    </w:p>
    <w:p w14:paraId="62D29D9B" w14:textId="77777777" w:rsidR="00550ADB" w:rsidRPr="00684914" w:rsidRDefault="00550ADB" w:rsidP="00550ADB">
      <w:pPr>
        <w:tabs>
          <w:tab w:val="left" w:pos="2160"/>
        </w:tabs>
        <w:spacing w:line="276" w:lineRule="auto"/>
        <w:jc w:val="both"/>
        <w:rPr>
          <w:sz w:val="10"/>
          <w:lang w:val="sq-AL"/>
        </w:rPr>
      </w:pPr>
    </w:p>
    <w:p w14:paraId="59EF5326" w14:textId="7FD23256" w:rsidR="00550ADB" w:rsidRPr="00D919EE" w:rsidRDefault="00550ADB" w:rsidP="00550ADB">
      <w:pPr>
        <w:tabs>
          <w:tab w:val="left" w:pos="2160"/>
        </w:tabs>
        <w:spacing w:line="276" w:lineRule="auto"/>
        <w:jc w:val="both"/>
        <w:rPr>
          <w:lang w:val="sq-AL"/>
        </w:rPr>
      </w:pPr>
      <w:r w:rsidRPr="00D919EE">
        <w:rPr>
          <w:lang w:val="sq-AL"/>
        </w:rPr>
        <w:t>Për realizimin e këtij qëllimi është përcaktuar si objektiv:</w:t>
      </w:r>
    </w:p>
    <w:p w14:paraId="6E2B9929" w14:textId="62B1081E" w:rsidR="00550ADB" w:rsidRPr="00B16680" w:rsidRDefault="00550ADB" w:rsidP="00B16680">
      <w:pPr>
        <w:pStyle w:val="ListParagraph"/>
        <w:numPr>
          <w:ilvl w:val="0"/>
          <w:numId w:val="6"/>
        </w:numPr>
        <w:tabs>
          <w:tab w:val="left" w:pos="2160"/>
        </w:tabs>
        <w:spacing w:after="240" w:line="276" w:lineRule="auto"/>
        <w:jc w:val="both"/>
        <w:rPr>
          <w:sz w:val="24"/>
          <w:lang w:val="sq-AL"/>
        </w:rPr>
      </w:pPr>
      <w:r w:rsidRPr="00D919EE">
        <w:rPr>
          <w:sz w:val="24"/>
          <w:lang w:val="sq-AL"/>
        </w:rPr>
        <w:t>Angazhimi i QTI – së, për garantimin e arritjes së standarteve të BE për teknologjinë e informacionit dhe komunikimit” me tregues performance:</w:t>
      </w:r>
    </w:p>
    <w:p w14:paraId="04DADFF0" w14:textId="29049776" w:rsidR="00550ADB" w:rsidRPr="00B16680" w:rsidRDefault="00550ADB" w:rsidP="00550ADB">
      <w:pPr>
        <w:pStyle w:val="ListParagraph"/>
        <w:numPr>
          <w:ilvl w:val="0"/>
          <w:numId w:val="4"/>
        </w:numPr>
        <w:tabs>
          <w:tab w:val="left" w:pos="2160"/>
        </w:tabs>
        <w:spacing w:before="120" w:after="120" w:line="276" w:lineRule="auto"/>
        <w:jc w:val="both"/>
        <w:rPr>
          <w:lang w:val="sq-AL"/>
        </w:rPr>
      </w:pPr>
      <w:r w:rsidRPr="00895DCE">
        <w:rPr>
          <w:sz w:val="24"/>
          <w:lang w:val="sq-AL"/>
        </w:rPr>
        <w:t xml:space="preserve">Përmirësimi i sistemeve të teknologjisë së informacionit në sistemin e drejtësisë, ku </w:t>
      </w:r>
      <w:r>
        <w:rPr>
          <w:sz w:val="24"/>
          <w:lang w:val="sq-AL"/>
        </w:rPr>
        <w:t>për</w:t>
      </w:r>
      <w:r w:rsidRPr="00895DCE">
        <w:rPr>
          <w:sz w:val="24"/>
          <w:lang w:val="sq-AL"/>
        </w:rPr>
        <w:t xml:space="preserve"> </w:t>
      </w:r>
      <w:r>
        <w:rPr>
          <w:sz w:val="24"/>
          <w:lang w:val="sq-AL"/>
        </w:rPr>
        <w:t xml:space="preserve">8 mujorin e </w:t>
      </w:r>
      <w:r w:rsidRPr="00895DCE">
        <w:rPr>
          <w:sz w:val="24"/>
          <w:lang w:val="sq-AL"/>
        </w:rPr>
        <w:t>viti</w:t>
      </w:r>
      <w:r>
        <w:rPr>
          <w:sz w:val="24"/>
          <w:lang w:val="sq-AL"/>
        </w:rPr>
        <w:t>t</w:t>
      </w:r>
      <w:r w:rsidRPr="00895DCE">
        <w:rPr>
          <w:sz w:val="24"/>
          <w:lang w:val="sq-AL"/>
        </w:rPr>
        <w:t xml:space="preserve"> 202</w:t>
      </w:r>
      <w:r>
        <w:rPr>
          <w:sz w:val="24"/>
          <w:lang w:val="sq-AL"/>
        </w:rPr>
        <w:t>4</w:t>
      </w:r>
      <w:r w:rsidRPr="00895DCE">
        <w:rPr>
          <w:sz w:val="24"/>
          <w:lang w:val="sq-AL"/>
        </w:rPr>
        <w:t xml:space="preserve"> </w:t>
      </w:r>
      <w:r>
        <w:rPr>
          <w:sz w:val="24"/>
          <w:lang w:val="sq-AL"/>
        </w:rPr>
        <w:t>dhe produkt Akte të miratuara, ku për 8 mujorin e vitit 2024 ka janë miratuar 13 akte nga 20 të parashikuara ose 65% e planit, shoqëruar me një kosto prej 8.6 milionë lekë.</w:t>
      </w:r>
    </w:p>
    <w:p w14:paraId="4505A172" w14:textId="2E4414B3" w:rsidR="008A255F" w:rsidRPr="00550ADB" w:rsidRDefault="008A255F" w:rsidP="00550ADB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Cs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lastRenderedPageBreak/>
        <w:t>Karakteristika kryesore të performancës së shpenzimeve</w:t>
      </w:r>
    </w:p>
    <w:p w14:paraId="040F783F" w14:textId="3A4183D5" w:rsidR="008A255F" w:rsidRDefault="00D547A5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>
        <w:rPr>
          <w:rFonts w:asciiTheme="majorBidi" w:hAnsiTheme="majorBidi" w:cstheme="majorBidi"/>
          <w:bCs/>
          <w:lang w:val="sq-AL"/>
        </w:rPr>
        <w:t>P</w:t>
      </w:r>
      <w:r w:rsidR="00B261B8">
        <w:rPr>
          <w:rFonts w:asciiTheme="majorBidi" w:hAnsiTheme="majorBidi" w:cstheme="majorBidi"/>
          <w:bCs/>
          <w:lang w:val="sq-AL"/>
        </w:rPr>
        <w:t>ë</w:t>
      </w:r>
      <w:r>
        <w:rPr>
          <w:rFonts w:asciiTheme="majorBidi" w:hAnsiTheme="majorBidi" w:cstheme="majorBidi"/>
          <w:bCs/>
          <w:lang w:val="sq-AL"/>
        </w:rPr>
        <w:t>rgjat</w:t>
      </w:r>
      <w:r w:rsidR="00B261B8">
        <w:rPr>
          <w:rFonts w:asciiTheme="majorBidi" w:hAnsiTheme="majorBidi" w:cstheme="majorBidi"/>
          <w:bCs/>
          <w:lang w:val="sq-AL"/>
        </w:rPr>
        <w:t>ë</w:t>
      </w:r>
      <w:r w:rsidR="00990612">
        <w:rPr>
          <w:rFonts w:asciiTheme="majorBidi" w:hAnsiTheme="majorBidi" w:cstheme="majorBidi"/>
          <w:bCs/>
          <w:lang w:val="sq-AL"/>
        </w:rPr>
        <w:t xml:space="preserve"> </w:t>
      </w:r>
      <w:r w:rsidR="005742B3">
        <w:rPr>
          <w:rFonts w:asciiTheme="majorBidi" w:hAnsiTheme="majorBidi" w:cstheme="majorBidi"/>
          <w:bCs/>
          <w:lang w:val="sq-AL"/>
        </w:rPr>
        <w:t>8</w:t>
      </w:r>
      <w:r w:rsidR="004A72D8">
        <w:rPr>
          <w:rFonts w:asciiTheme="majorBidi" w:hAnsiTheme="majorBidi" w:cstheme="majorBidi"/>
          <w:bCs/>
          <w:lang w:val="sq-AL"/>
        </w:rPr>
        <w:t xml:space="preserve"> mujorit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4A72D8">
        <w:rPr>
          <w:rFonts w:asciiTheme="majorBidi" w:hAnsiTheme="majorBidi" w:cstheme="majorBidi"/>
          <w:bCs/>
          <w:lang w:val="sq-AL"/>
        </w:rPr>
        <w:t xml:space="preserve"> vitit</w:t>
      </w:r>
      <w:r w:rsidR="00990612">
        <w:rPr>
          <w:rFonts w:asciiTheme="majorBidi" w:hAnsiTheme="majorBidi" w:cstheme="majorBidi"/>
          <w:bCs/>
          <w:lang w:val="sq-AL"/>
        </w:rPr>
        <w:t xml:space="preserve"> </w:t>
      </w:r>
      <w:r w:rsidR="000D5342">
        <w:rPr>
          <w:rFonts w:asciiTheme="majorBidi" w:hAnsiTheme="majorBidi" w:cstheme="majorBidi"/>
          <w:bCs/>
          <w:lang w:val="sq-AL"/>
        </w:rPr>
        <w:t>202</w:t>
      </w:r>
      <w:r w:rsidR="004A72D8">
        <w:rPr>
          <w:rFonts w:asciiTheme="majorBidi" w:hAnsiTheme="majorBidi" w:cstheme="majorBidi"/>
          <w:bCs/>
          <w:lang w:val="sq-AL"/>
        </w:rPr>
        <w:t>4</w:t>
      </w:r>
      <w:r w:rsidR="008A255F" w:rsidRPr="00A017AC">
        <w:rPr>
          <w:rFonts w:asciiTheme="majorBidi" w:hAnsiTheme="majorBidi" w:cstheme="majorBidi"/>
          <w:bCs/>
          <w:lang w:val="sq-AL"/>
        </w:rPr>
        <w:t>, situata në lidhje me realizimin e shpenzimeve të buxhetit, krahasuar me planin me ndryshime, sipas raportit të monitorimit të paraqitur nga ana e institucionit</w:t>
      </w:r>
      <w:r w:rsidR="008A255F" w:rsidRPr="00A017AC">
        <w:rPr>
          <w:bCs/>
          <w:lang w:val="sq-AL"/>
        </w:rPr>
        <w:t xml:space="preserve"> dhe sipas të dhënave të Sistemit Financiar Informatik të Qeverisë</w:t>
      </w:r>
      <w:r w:rsidR="004A2B7A">
        <w:rPr>
          <w:bCs/>
          <w:lang w:val="sq-AL"/>
        </w:rPr>
        <w:t xml:space="preserve"> dhe AFMIS</w:t>
      </w:r>
      <w:r w:rsidR="008A255F" w:rsidRPr="00A017AC">
        <w:rPr>
          <w:rFonts w:asciiTheme="majorBidi" w:hAnsiTheme="majorBidi" w:cstheme="majorBidi"/>
          <w:bCs/>
          <w:lang w:val="sq-AL"/>
        </w:rPr>
        <w:t xml:space="preserve">, e ndarë për secilin nga programet, paraqitet si më poshtë, </w:t>
      </w:r>
      <w:r w:rsidR="008A255F" w:rsidRPr="00A017AC">
        <w:rPr>
          <w:bCs/>
          <w:i/>
          <w:iCs/>
          <w:lang w:val="sq-AL"/>
        </w:rPr>
        <w:t>në mijë lekë:</w:t>
      </w:r>
    </w:p>
    <w:p w14:paraId="6084B697" w14:textId="77777777" w:rsidR="000A3EB5" w:rsidRPr="00A017AC" w:rsidRDefault="000A3EB5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W w:w="8022" w:type="dxa"/>
        <w:tblInd w:w="726" w:type="dxa"/>
        <w:tblLook w:val="04A0" w:firstRow="1" w:lastRow="0" w:firstColumn="1" w:lastColumn="0" w:noHBand="0" w:noVBand="1"/>
      </w:tblPr>
      <w:tblGrid>
        <w:gridCol w:w="555"/>
        <w:gridCol w:w="3608"/>
        <w:gridCol w:w="1400"/>
        <w:gridCol w:w="1220"/>
        <w:gridCol w:w="1239"/>
      </w:tblGrid>
      <w:tr w:rsidR="003202D4" w:rsidRPr="003202D4" w14:paraId="64E8316F" w14:textId="77777777" w:rsidTr="00E23B6F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E5DB76A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0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C524150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Planifikimi, Menaxhimi dhe Administrimi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AA071CF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83ABA36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239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1006834F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Përqindja  e realizimit</w:t>
            </w:r>
          </w:p>
        </w:tc>
      </w:tr>
      <w:tr w:rsidR="007571C0" w:rsidRPr="003202D4" w14:paraId="0E6AB73C" w14:textId="77777777" w:rsidTr="00E23B6F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BD50F5" w14:textId="77777777" w:rsidR="007571C0" w:rsidRPr="003202D4" w:rsidRDefault="007571C0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7947C" w14:textId="77777777" w:rsidR="007571C0" w:rsidRPr="003202D4" w:rsidRDefault="007571C0" w:rsidP="00AB298E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868057A" w14:textId="5C285DAF" w:rsidR="007571C0" w:rsidRPr="009425DF" w:rsidRDefault="007571C0" w:rsidP="00AB298E">
            <w:pPr>
              <w:jc w:val="center"/>
            </w:pPr>
            <w:r w:rsidRPr="004D05FE">
              <w:t>292,909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9A70E81" w14:textId="139EF2AC" w:rsidR="007571C0" w:rsidRDefault="007571C0" w:rsidP="00AB298E">
            <w:pPr>
              <w:jc w:val="center"/>
            </w:pPr>
            <w:r w:rsidRPr="004D05FE">
              <w:t>170,814</w:t>
            </w:r>
          </w:p>
        </w:tc>
        <w:tc>
          <w:tcPr>
            <w:tcW w:w="12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8E46E5D" w14:textId="53D059C5" w:rsidR="007571C0" w:rsidRPr="00FD5957" w:rsidRDefault="007571C0" w:rsidP="00AB298E">
            <w:pPr>
              <w:jc w:val="center"/>
            </w:pPr>
            <w:r w:rsidRPr="004D05FE">
              <w:t>58%</w:t>
            </w:r>
          </w:p>
        </w:tc>
      </w:tr>
      <w:tr w:rsidR="007571C0" w:rsidRPr="003202D4" w14:paraId="04FDAD93" w14:textId="77777777" w:rsidTr="00E23B6F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43D48" w14:textId="77777777" w:rsidR="007571C0" w:rsidRPr="003202D4" w:rsidRDefault="007571C0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AFCDBE" w14:textId="77777777" w:rsidR="007571C0" w:rsidRPr="003202D4" w:rsidRDefault="007571C0" w:rsidP="00AB298E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374E305" w14:textId="242FB50C" w:rsidR="007571C0" w:rsidRPr="0008463C" w:rsidRDefault="007571C0" w:rsidP="00AB298E">
            <w:pPr>
              <w:jc w:val="center"/>
            </w:pPr>
            <w:r w:rsidRPr="00781865">
              <w:t>77,356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35E6FF" w14:textId="55415E6E" w:rsidR="007571C0" w:rsidRDefault="007571C0" w:rsidP="00AB298E">
            <w:pPr>
              <w:jc w:val="center"/>
            </w:pPr>
            <w:r w:rsidRPr="00781865">
              <w:t>25,074</w:t>
            </w:r>
          </w:p>
        </w:tc>
        <w:tc>
          <w:tcPr>
            <w:tcW w:w="12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4CEB969C" w14:textId="47D09055" w:rsidR="007571C0" w:rsidRDefault="007571C0" w:rsidP="00AB298E">
            <w:pPr>
              <w:jc w:val="center"/>
            </w:pPr>
            <w:r w:rsidRPr="00781865">
              <w:t>32%</w:t>
            </w:r>
          </w:p>
        </w:tc>
      </w:tr>
      <w:tr w:rsidR="007571C0" w:rsidRPr="003202D4" w14:paraId="5CC0C65B" w14:textId="77777777" w:rsidTr="00E23B6F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F89E25" w14:textId="77777777" w:rsidR="007571C0" w:rsidRPr="003202D4" w:rsidRDefault="007571C0" w:rsidP="003202D4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D7BEB1" w14:textId="77777777" w:rsidR="007571C0" w:rsidRPr="003202D4" w:rsidRDefault="007571C0" w:rsidP="003202D4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DBB708D" w14:textId="5AC1D533" w:rsidR="007571C0" w:rsidRPr="000649CD" w:rsidRDefault="007571C0" w:rsidP="00BA6F4B">
            <w:pPr>
              <w:jc w:val="center"/>
            </w:pPr>
            <w:r w:rsidRPr="00BE4898">
              <w:t>15,000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AD9D2C7" w14:textId="591CF671" w:rsidR="007571C0" w:rsidRDefault="007571C0" w:rsidP="00BA6F4B">
            <w:pPr>
              <w:jc w:val="center"/>
            </w:pPr>
            <w:r w:rsidRPr="00BE4898">
              <w:t>14,381</w:t>
            </w:r>
          </w:p>
        </w:tc>
        <w:tc>
          <w:tcPr>
            <w:tcW w:w="123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3177D205" w14:textId="2F1D0846" w:rsidR="007571C0" w:rsidRDefault="007571C0" w:rsidP="00BA6F4B">
            <w:pPr>
              <w:jc w:val="center"/>
            </w:pPr>
            <w:r>
              <w:t>96</w:t>
            </w:r>
            <w:r w:rsidRPr="00BE4898">
              <w:t>%</w:t>
            </w:r>
          </w:p>
        </w:tc>
      </w:tr>
      <w:tr w:rsidR="007571C0" w:rsidRPr="003202D4" w14:paraId="331DE71E" w14:textId="77777777" w:rsidTr="00E23B6F">
        <w:trPr>
          <w:trHeight w:val="315"/>
        </w:trPr>
        <w:tc>
          <w:tcPr>
            <w:tcW w:w="416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6A868844" w14:textId="77777777" w:rsidR="007571C0" w:rsidRPr="003202D4" w:rsidRDefault="007571C0" w:rsidP="00320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2D4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46269888" w14:textId="2C57F9A7" w:rsidR="007571C0" w:rsidRPr="007571C0" w:rsidRDefault="007571C0" w:rsidP="00BA6F4B">
            <w:pPr>
              <w:jc w:val="center"/>
              <w:rPr>
                <w:b/>
                <w:bCs/>
              </w:rPr>
            </w:pPr>
            <w:r w:rsidRPr="007571C0">
              <w:rPr>
                <w:b/>
              </w:rPr>
              <w:t>385,265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51B66E99" w14:textId="4611343D" w:rsidR="007571C0" w:rsidRPr="007571C0" w:rsidRDefault="007571C0" w:rsidP="00BA6F4B">
            <w:pPr>
              <w:jc w:val="center"/>
              <w:rPr>
                <w:b/>
                <w:bCs/>
              </w:rPr>
            </w:pPr>
            <w:r w:rsidRPr="007571C0">
              <w:rPr>
                <w:b/>
              </w:rPr>
              <w:t>210,269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5EBDD193" w14:textId="1D0DE752" w:rsidR="007571C0" w:rsidRPr="007571C0" w:rsidRDefault="007571C0" w:rsidP="00BA6F4B">
            <w:pPr>
              <w:jc w:val="center"/>
              <w:rPr>
                <w:b/>
              </w:rPr>
            </w:pPr>
            <w:r w:rsidRPr="007571C0">
              <w:rPr>
                <w:b/>
              </w:rPr>
              <w:t>54.58%</w:t>
            </w:r>
          </w:p>
        </w:tc>
      </w:tr>
    </w:tbl>
    <w:p w14:paraId="1D384743" w14:textId="77777777" w:rsidR="008A255F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tbl>
      <w:tblPr>
        <w:tblpPr w:leftFromText="180" w:rightFromText="180" w:vertAnchor="text" w:horzAnchor="margin" w:tblpXSpec="center" w:tblpY="71"/>
        <w:tblW w:w="8028" w:type="dxa"/>
        <w:tblLook w:val="04A0" w:firstRow="1" w:lastRow="0" w:firstColumn="1" w:lastColumn="0" w:noHBand="0" w:noVBand="1"/>
      </w:tblPr>
      <w:tblGrid>
        <w:gridCol w:w="720"/>
        <w:gridCol w:w="3504"/>
        <w:gridCol w:w="1440"/>
        <w:gridCol w:w="1176"/>
        <w:gridCol w:w="1188"/>
      </w:tblGrid>
      <w:tr w:rsidR="004A72D8" w:rsidRPr="003202D4" w14:paraId="235B7CF7" w14:textId="77777777" w:rsidTr="00E23B6F">
        <w:trPr>
          <w:trHeight w:val="525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13129542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504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AF4B621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Buxheti Gjyqësor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28FBEFD3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642C3157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188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0E6DBF95" w14:textId="77777777" w:rsidR="005E78F0" w:rsidRPr="003202D4" w:rsidRDefault="005E78F0" w:rsidP="00156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Përqindja  e realizimit</w:t>
            </w:r>
          </w:p>
        </w:tc>
      </w:tr>
      <w:tr w:rsidR="00F20697" w:rsidRPr="003202D4" w14:paraId="17C1473A" w14:textId="77777777" w:rsidTr="00E23B6F">
        <w:trPr>
          <w:trHeight w:val="315"/>
        </w:trPr>
        <w:tc>
          <w:tcPr>
            <w:tcW w:w="72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5CE4D" w14:textId="77777777" w:rsidR="00F20697" w:rsidRPr="003202D4" w:rsidRDefault="00F20697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5806C9" w14:textId="77777777" w:rsidR="00F20697" w:rsidRPr="003202D4" w:rsidRDefault="00F20697" w:rsidP="00AB298E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092A4E" w14:textId="51399935" w:rsidR="00F20697" w:rsidRPr="00014360" w:rsidRDefault="00F20697" w:rsidP="00AB298E">
            <w:pPr>
              <w:jc w:val="center"/>
            </w:pPr>
            <w:r w:rsidRPr="009F0ED0">
              <w:t>3,613,200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6A8D1A5" w14:textId="29B75528" w:rsidR="00F20697" w:rsidRDefault="00F20697" w:rsidP="00AB298E">
            <w:pPr>
              <w:jc w:val="center"/>
            </w:pPr>
            <w:r w:rsidRPr="009F0ED0">
              <w:t>2,150,326</w:t>
            </w: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557F8294" w14:textId="794A9D45" w:rsidR="00F20697" w:rsidRPr="00B24102" w:rsidRDefault="00F20697" w:rsidP="00AB298E">
            <w:pPr>
              <w:jc w:val="center"/>
            </w:pPr>
            <w:r w:rsidRPr="009F0ED0">
              <w:t>60%</w:t>
            </w:r>
          </w:p>
        </w:tc>
      </w:tr>
      <w:tr w:rsidR="00F20697" w:rsidRPr="003202D4" w14:paraId="19E215DC" w14:textId="77777777" w:rsidTr="00E23B6F">
        <w:trPr>
          <w:trHeight w:val="315"/>
        </w:trPr>
        <w:tc>
          <w:tcPr>
            <w:tcW w:w="72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D63F47" w14:textId="77777777" w:rsidR="00F20697" w:rsidRPr="003202D4" w:rsidRDefault="00F20697" w:rsidP="00AB298E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46845F" w14:textId="77777777" w:rsidR="00F20697" w:rsidRPr="003202D4" w:rsidRDefault="00F20697" w:rsidP="00AB298E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6511AD6" w14:textId="7DAF22B0" w:rsidR="00F20697" w:rsidRPr="00B5559B" w:rsidRDefault="00F20697" w:rsidP="00AB298E">
            <w:pPr>
              <w:jc w:val="center"/>
            </w:pPr>
            <w:r w:rsidRPr="002E7E9F">
              <w:t>625,377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07F53FE" w14:textId="42D2B80B" w:rsidR="00F20697" w:rsidRDefault="00F20697" w:rsidP="00AB298E">
            <w:pPr>
              <w:jc w:val="center"/>
            </w:pPr>
            <w:r w:rsidRPr="002E7E9F">
              <w:t>309,017</w:t>
            </w: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6FC5FF5A" w14:textId="28EB4C73" w:rsidR="00F20697" w:rsidRPr="00B24102" w:rsidRDefault="00F20697" w:rsidP="00AB298E">
            <w:pPr>
              <w:jc w:val="center"/>
            </w:pPr>
            <w:r w:rsidRPr="002E7E9F">
              <w:t>49%</w:t>
            </w:r>
          </w:p>
        </w:tc>
      </w:tr>
      <w:tr w:rsidR="00F20697" w:rsidRPr="003202D4" w14:paraId="22DAB3EB" w14:textId="77777777" w:rsidTr="00E23B6F">
        <w:trPr>
          <w:trHeight w:val="315"/>
        </w:trPr>
        <w:tc>
          <w:tcPr>
            <w:tcW w:w="72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D5DA2" w14:textId="77777777" w:rsidR="00F20697" w:rsidRPr="003202D4" w:rsidRDefault="00F20697" w:rsidP="00156932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ADD8FC" w14:textId="77777777" w:rsidR="00F20697" w:rsidRPr="003202D4" w:rsidRDefault="00F20697" w:rsidP="00156932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69F9D0" w14:textId="57FA7FCA" w:rsidR="00F20697" w:rsidRPr="005643C5" w:rsidRDefault="00F20697" w:rsidP="00156932">
            <w:pPr>
              <w:jc w:val="center"/>
            </w:pPr>
            <w:r w:rsidRPr="00246837">
              <w:t>368,000</w:t>
            </w:r>
          </w:p>
        </w:tc>
        <w:tc>
          <w:tcPr>
            <w:tcW w:w="11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7A1783A" w14:textId="40053C01" w:rsidR="00F20697" w:rsidRDefault="00F20697" w:rsidP="00156932">
            <w:pPr>
              <w:jc w:val="center"/>
            </w:pPr>
            <w:r w:rsidRPr="00246837">
              <w:t>115,806</w:t>
            </w: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88E36D8" w14:textId="23DBC11D" w:rsidR="00F20697" w:rsidRPr="00B24102" w:rsidRDefault="00F20697" w:rsidP="00156932">
            <w:pPr>
              <w:jc w:val="center"/>
            </w:pPr>
            <w:r w:rsidRPr="00246837">
              <w:t>31%</w:t>
            </w:r>
          </w:p>
        </w:tc>
      </w:tr>
      <w:tr w:rsidR="00F20697" w:rsidRPr="003202D4" w14:paraId="40B149F5" w14:textId="77777777" w:rsidTr="00E23B6F">
        <w:trPr>
          <w:trHeight w:val="315"/>
        </w:trPr>
        <w:tc>
          <w:tcPr>
            <w:tcW w:w="4224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3B3501BB" w14:textId="77777777" w:rsidR="00F20697" w:rsidRPr="003202D4" w:rsidRDefault="00F20697" w:rsidP="0015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2D4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7B904815" w14:textId="348941B9" w:rsidR="00F20697" w:rsidRPr="00F20697" w:rsidRDefault="00F20697" w:rsidP="00156932">
            <w:pPr>
              <w:jc w:val="center"/>
              <w:rPr>
                <w:b/>
                <w:bCs/>
              </w:rPr>
            </w:pPr>
            <w:r w:rsidRPr="00F20697">
              <w:rPr>
                <w:b/>
              </w:rPr>
              <w:t>4,606,577</w:t>
            </w:r>
          </w:p>
        </w:tc>
        <w:tc>
          <w:tcPr>
            <w:tcW w:w="117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692A5612" w14:textId="10AB2AE1" w:rsidR="00F20697" w:rsidRPr="00F20697" w:rsidRDefault="00F20697" w:rsidP="00156932">
            <w:pPr>
              <w:jc w:val="center"/>
              <w:rPr>
                <w:b/>
                <w:bCs/>
              </w:rPr>
            </w:pPr>
            <w:r w:rsidRPr="00F20697">
              <w:rPr>
                <w:b/>
              </w:rPr>
              <w:t>2,575,149</w:t>
            </w:r>
          </w:p>
        </w:tc>
        <w:tc>
          <w:tcPr>
            <w:tcW w:w="11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1834E7E7" w14:textId="20046083" w:rsidR="00F20697" w:rsidRPr="00F20697" w:rsidRDefault="00F20697" w:rsidP="0015693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Pr="00F20697">
              <w:rPr>
                <w:b/>
              </w:rPr>
              <w:t>%</w:t>
            </w:r>
          </w:p>
        </w:tc>
      </w:tr>
    </w:tbl>
    <w:p w14:paraId="6C6F08F4" w14:textId="77777777" w:rsidR="004015A1" w:rsidRDefault="004015A1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7AB76762" w14:textId="77777777" w:rsidR="004015A1" w:rsidRPr="00A017AC" w:rsidRDefault="004015A1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6906066C" w14:textId="77777777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</w:p>
    <w:p w14:paraId="273145C3" w14:textId="77777777" w:rsidR="008A255F" w:rsidRDefault="008A255F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284E0C3A" w14:textId="77777777" w:rsidR="004015A1" w:rsidRDefault="004015A1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5537E45C" w14:textId="77777777" w:rsidR="004015A1" w:rsidRDefault="004015A1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5C408EB6" w14:textId="77777777" w:rsidR="00360579" w:rsidRDefault="00360579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33AFCE89" w14:textId="77777777" w:rsidR="003202D4" w:rsidRDefault="003202D4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tbl>
      <w:tblPr>
        <w:tblW w:w="7900" w:type="dxa"/>
        <w:tblInd w:w="726" w:type="dxa"/>
        <w:tblLook w:val="04A0" w:firstRow="1" w:lastRow="0" w:firstColumn="1" w:lastColumn="0" w:noHBand="0" w:noVBand="1"/>
      </w:tblPr>
      <w:tblGrid>
        <w:gridCol w:w="555"/>
        <w:gridCol w:w="3608"/>
        <w:gridCol w:w="1400"/>
        <w:gridCol w:w="1220"/>
        <w:gridCol w:w="1117"/>
      </w:tblGrid>
      <w:tr w:rsidR="003202D4" w:rsidRPr="003202D4" w14:paraId="6444C9ED" w14:textId="77777777" w:rsidTr="003202D4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A931F41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0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922F75F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 Mbështetje për teknologjinë e sistemit të drejtësisë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4D78F3F8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4343FB2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537C57E5" w14:textId="77777777" w:rsidR="003202D4" w:rsidRPr="003202D4" w:rsidRDefault="003202D4" w:rsidP="003202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D4">
              <w:rPr>
                <w:b/>
                <w:bCs/>
                <w:color w:val="000000"/>
                <w:sz w:val="20"/>
                <w:szCs w:val="20"/>
              </w:rPr>
              <w:t>Përqindja  e realizimit</w:t>
            </w:r>
          </w:p>
        </w:tc>
      </w:tr>
      <w:tr w:rsidR="00F20697" w:rsidRPr="003202D4" w14:paraId="19CFE710" w14:textId="77777777" w:rsidTr="00567B7C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036BDB" w14:textId="77777777" w:rsidR="00F20697" w:rsidRPr="003202D4" w:rsidRDefault="00F20697" w:rsidP="004A72D8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D7379" w14:textId="77777777" w:rsidR="00F20697" w:rsidRPr="003202D4" w:rsidRDefault="00F20697" w:rsidP="004A72D8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53A44D" w14:textId="003873D3" w:rsidR="00F20697" w:rsidRPr="00AD3116" w:rsidRDefault="00F20697" w:rsidP="004A72D8">
            <w:pPr>
              <w:jc w:val="center"/>
            </w:pPr>
            <w:r w:rsidRPr="00694975">
              <w:t>14,550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5D2F26C" w14:textId="10C02831" w:rsidR="00F20697" w:rsidRDefault="00F20697" w:rsidP="004A72D8">
            <w:pPr>
              <w:jc w:val="center"/>
            </w:pPr>
            <w:r w:rsidRPr="00694975">
              <w:t>7,929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8AAC18D" w14:textId="36D29EAB" w:rsidR="00F20697" w:rsidRPr="0084065A" w:rsidRDefault="00F20697" w:rsidP="004A72D8">
            <w:pPr>
              <w:jc w:val="center"/>
            </w:pPr>
            <w:r w:rsidRPr="00694975">
              <w:t>54%</w:t>
            </w:r>
          </w:p>
        </w:tc>
      </w:tr>
      <w:tr w:rsidR="00F20697" w:rsidRPr="003202D4" w14:paraId="15FF7CCC" w14:textId="77777777" w:rsidTr="000F219E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00410" w14:textId="77777777" w:rsidR="00F20697" w:rsidRPr="003202D4" w:rsidRDefault="00F20697" w:rsidP="004A72D8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8BCF1" w14:textId="77777777" w:rsidR="00F20697" w:rsidRPr="003202D4" w:rsidRDefault="00F20697" w:rsidP="004A72D8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2454F4E" w14:textId="61173A8C" w:rsidR="00F20697" w:rsidRPr="00117197" w:rsidRDefault="00F20697" w:rsidP="004A72D8">
            <w:pPr>
              <w:jc w:val="center"/>
            </w:pPr>
            <w:r w:rsidRPr="003C48C9">
              <w:t>2,350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003071" w14:textId="532DF0BD" w:rsidR="00F20697" w:rsidRDefault="00F20697" w:rsidP="004A72D8">
            <w:pPr>
              <w:jc w:val="center"/>
            </w:pPr>
            <w:r w:rsidRPr="003C48C9">
              <w:t>660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0A4F0F02" w14:textId="2479615F" w:rsidR="00F20697" w:rsidRDefault="00F20697" w:rsidP="004A72D8">
            <w:pPr>
              <w:jc w:val="center"/>
            </w:pPr>
            <w:r w:rsidRPr="003C48C9">
              <w:t>28%</w:t>
            </w:r>
          </w:p>
        </w:tc>
      </w:tr>
      <w:tr w:rsidR="009915F6" w:rsidRPr="003202D4" w14:paraId="33C39C18" w14:textId="77777777" w:rsidTr="009109BB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635303" w14:textId="77777777" w:rsidR="009915F6" w:rsidRPr="003202D4" w:rsidRDefault="009915F6" w:rsidP="003202D4">
            <w:pPr>
              <w:jc w:val="center"/>
              <w:rPr>
                <w:color w:val="000000"/>
                <w:sz w:val="22"/>
                <w:szCs w:val="22"/>
              </w:rPr>
            </w:pPr>
            <w:r w:rsidRPr="003202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7456B5" w14:textId="77777777" w:rsidR="009915F6" w:rsidRPr="003202D4" w:rsidRDefault="009915F6" w:rsidP="003202D4">
            <w:pPr>
              <w:rPr>
                <w:i/>
                <w:iCs/>
                <w:color w:val="000000"/>
              </w:rPr>
            </w:pPr>
            <w:r w:rsidRPr="003202D4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2F3591" w14:textId="5F9943C4" w:rsidR="009915F6" w:rsidRPr="009915F6" w:rsidRDefault="00F20697" w:rsidP="00BA6F4B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26F763" w14:textId="15C99045" w:rsidR="009915F6" w:rsidRPr="009915F6" w:rsidRDefault="00F20697" w:rsidP="00BA6F4B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ED402C" w14:textId="70B06747" w:rsidR="009915F6" w:rsidRPr="00762CD6" w:rsidRDefault="00F20697" w:rsidP="00BA6F4B">
            <w:pPr>
              <w:jc w:val="center"/>
            </w:pPr>
            <w:r>
              <w:t>-</w:t>
            </w:r>
          </w:p>
        </w:tc>
      </w:tr>
      <w:tr w:rsidR="00F20697" w:rsidRPr="003202D4" w14:paraId="5AF72884" w14:textId="77777777" w:rsidTr="001D104E">
        <w:trPr>
          <w:trHeight w:val="315"/>
        </w:trPr>
        <w:tc>
          <w:tcPr>
            <w:tcW w:w="416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724822D3" w14:textId="77777777" w:rsidR="00F20697" w:rsidRPr="003202D4" w:rsidRDefault="00F20697" w:rsidP="00320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2D4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546CFE40" w14:textId="20046342" w:rsidR="00F20697" w:rsidRPr="00F20697" w:rsidRDefault="00F20697" w:rsidP="00BA6F4B">
            <w:pPr>
              <w:jc w:val="center"/>
              <w:rPr>
                <w:b/>
                <w:bCs/>
              </w:rPr>
            </w:pPr>
            <w:r w:rsidRPr="00F20697">
              <w:rPr>
                <w:b/>
              </w:rPr>
              <w:t>16,900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7462B1FE" w14:textId="6360A275" w:rsidR="00F20697" w:rsidRPr="00F20697" w:rsidRDefault="00F20697" w:rsidP="00BA6F4B">
            <w:pPr>
              <w:jc w:val="center"/>
              <w:rPr>
                <w:b/>
                <w:bCs/>
              </w:rPr>
            </w:pPr>
            <w:r w:rsidRPr="00F20697">
              <w:rPr>
                <w:b/>
              </w:rPr>
              <w:t>8,589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095347D3" w14:textId="28CF42AA" w:rsidR="00F20697" w:rsidRPr="00F20697" w:rsidRDefault="00F20697" w:rsidP="00BA6F4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F20697">
              <w:rPr>
                <w:b/>
              </w:rPr>
              <w:t>%</w:t>
            </w:r>
          </w:p>
        </w:tc>
      </w:tr>
    </w:tbl>
    <w:p w14:paraId="56DA3900" w14:textId="77777777" w:rsidR="00360579" w:rsidRPr="00A017AC" w:rsidRDefault="00360579" w:rsidP="008A255F">
      <w:pPr>
        <w:tabs>
          <w:tab w:val="left" w:pos="2160"/>
        </w:tabs>
        <w:spacing w:line="276" w:lineRule="auto"/>
        <w:jc w:val="both"/>
        <w:rPr>
          <w:bCs/>
          <w:iCs/>
          <w:lang w:val="sq-AL"/>
        </w:rPr>
      </w:pPr>
    </w:p>
    <w:p w14:paraId="0CC9A82B" w14:textId="5BE52833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lang w:val="sq-AL"/>
        </w:rPr>
      </w:pPr>
      <w:r w:rsidRPr="00A017AC">
        <w:rPr>
          <w:bCs/>
          <w:iCs/>
          <w:lang w:val="sq-AL"/>
        </w:rPr>
        <w:t>Ndërsa në total për Këshillin e Lartë Gjyqëso</w:t>
      </w:r>
      <w:r w:rsidR="00447473">
        <w:rPr>
          <w:bCs/>
          <w:iCs/>
          <w:lang w:val="sq-AL"/>
        </w:rPr>
        <w:t xml:space="preserve">r, situata në fund </w:t>
      </w:r>
      <w:r w:rsidR="006A2184">
        <w:rPr>
          <w:bCs/>
          <w:iCs/>
          <w:lang w:val="sq-AL"/>
        </w:rPr>
        <w:t>t</w:t>
      </w:r>
      <w:r w:rsidR="00B261B8">
        <w:rPr>
          <w:bCs/>
          <w:iCs/>
          <w:lang w:val="sq-AL"/>
        </w:rPr>
        <w:t>ë</w:t>
      </w:r>
      <w:r w:rsidR="00C57BE5">
        <w:rPr>
          <w:bCs/>
          <w:iCs/>
          <w:lang w:val="sq-AL"/>
        </w:rPr>
        <w:t xml:space="preserve"> 8</w:t>
      </w:r>
      <w:r w:rsidR="00A86849">
        <w:rPr>
          <w:bCs/>
          <w:iCs/>
          <w:lang w:val="sq-AL"/>
        </w:rPr>
        <w:t xml:space="preserve"> mujorit t</w:t>
      </w:r>
      <w:r w:rsidR="007D1FD0">
        <w:rPr>
          <w:bCs/>
          <w:iCs/>
          <w:lang w:val="sq-AL"/>
        </w:rPr>
        <w:t>ë</w:t>
      </w:r>
      <w:r w:rsidR="006A2184">
        <w:rPr>
          <w:bCs/>
          <w:iCs/>
          <w:lang w:val="sq-AL"/>
        </w:rPr>
        <w:t xml:space="preserve"> vitit 202</w:t>
      </w:r>
      <w:r w:rsidR="00A86849">
        <w:rPr>
          <w:bCs/>
          <w:iCs/>
          <w:lang w:val="sq-AL"/>
        </w:rPr>
        <w:t>4</w:t>
      </w:r>
      <w:r w:rsidRPr="00A017AC">
        <w:rPr>
          <w:bCs/>
          <w:iCs/>
          <w:lang w:val="sq-AL"/>
        </w:rPr>
        <w:t xml:space="preserve"> paraqitet si më poshtë</w:t>
      </w:r>
      <w:r w:rsidRPr="00A017AC">
        <w:rPr>
          <w:bCs/>
          <w:i/>
          <w:iCs/>
          <w:lang w:val="sq-AL"/>
        </w:rPr>
        <w:t xml:space="preserve"> në mijë lekë:</w:t>
      </w:r>
    </w:p>
    <w:p w14:paraId="2F453411" w14:textId="77777777" w:rsidR="008A255F" w:rsidRPr="00A017AC" w:rsidRDefault="008A255F" w:rsidP="008A255F">
      <w:pPr>
        <w:tabs>
          <w:tab w:val="left" w:pos="2160"/>
        </w:tabs>
        <w:spacing w:line="276" w:lineRule="auto"/>
        <w:jc w:val="both"/>
        <w:rPr>
          <w:bCs/>
          <w:i/>
          <w:iCs/>
          <w:sz w:val="16"/>
          <w:szCs w:val="16"/>
          <w:lang w:val="sq-AL"/>
        </w:rPr>
      </w:pPr>
    </w:p>
    <w:tbl>
      <w:tblPr>
        <w:tblW w:w="7900" w:type="dxa"/>
        <w:tblInd w:w="726" w:type="dxa"/>
        <w:tblLook w:val="04A0" w:firstRow="1" w:lastRow="0" w:firstColumn="1" w:lastColumn="0" w:noHBand="0" w:noVBand="1"/>
      </w:tblPr>
      <w:tblGrid>
        <w:gridCol w:w="555"/>
        <w:gridCol w:w="3608"/>
        <w:gridCol w:w="1400"/>
        <w:gridCol w:w="1220"/>
        <w:gridCol w:w="1117"/>
      </w:tblGrid>
      <w:tr w:rsidR="00A86849" w:rsidRPr="0047599C" w14:paraId="0EBF8E21" w14:textId="77777777" w:rsidTr="0047599C">
        <w:trPr>
          <w:trHeight w:val="525"/>
        </w:trPr>
        <w:tc>
          <w:tcPr>
            <w:tcW w:w="555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0CEB3DBB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99C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60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37ABE256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99C">
              <w:rPr>
                <w:b/>
                <w:bCs/>
                <w:color w:val="000000"/>
                <w:sz w:val="20"/>
                <w:szCs w:val="20"/>
              </w:rPr>
              <w:t>KLGJ</w:t>
            </w:r>
          </w:p>
        </w:tc>
        <w:tc>
          <w:tcPr>
            <w:tcW w:w="140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5816C7F2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99C">
              <w:rPr>
                <w:b/>
                <w:bCs/>
                <w:color w:val="000000"/>
                <w:sz w:val="20"/>
                <w:szCs w:val="20"/>
              </w:rPr>
              <w:t xml:space="preserve">Plani 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AEEF3"/>
            <w:vAlign w:val="center"/>
            <w:hideMark/>
          </w:tcPr>
          <w:p w14:paraId="7D016C6C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99C">
              <w:rPr>
                <w:b/>
                <w:bCs/>
                <w:color w:val="000000"/>
                <w:sz w:val="20"/>
                <w:szCs w:val="20"/>
              </w:rPr>
              <w:t xml:space="preserve">Fakti 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DAEEF3"/>
            <w:vAlign w:val="center"/>
            <w:hideMark/>
          </w:tcPr>
          <w:p w14:paraId="3AA95F73" w14:textId="77777777" w:rsidR="0047599C" w:rsidRPr="0047599C" w:rsidRDefault="0047599C" w:rsidP="00475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99C">
              <w:rPr>
                <w:b/>
                <w:bCs/>
                <w:color w:val="000000"/>
                <w:sz w:val="20"/>
                <w:szCs w:val="20"/>
              </w:rPr>
              <w:t>Përqindja  e realizimit</w:t>
            </w:r>
          </w:p>
        </w:tc>
      </w:tr>
      <w:tr w:rsidR="00C57BE5" w:rsidRPr="0047599C" w14:paraId="2EB8B259" w14:textId="77777777" w:rsidTr="007B2D07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BC492D" w14:textId="77777777" w:rsidR="00C57BE5" w:rsidRPr="0047599C" w:rsidRDefault="00C57BE5" w:rsidP="00A86849">
            <w:pPr>
              <w:jc w:val="center"/>
              <w:rPr>
                <w:color w:val="000000"/>
                <w:sz w:val="22"/>
                <w:szCs w:val="22"/>
              </w:rPr>
            </w:pPr>
            <w:r w:rsidRPr="004759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01E3D" w14:textId="77777777" w:rsidR="00C57BE5" w:rsidRPr="0047599C" w:rsidRDefault="00C57BE5" w:rsidP="00A86849">
            <w:pPr>
              <w:rPr>
                <w:i/>
                <w:iCs/>
                <w:color w:val="000000"/>
              </w:rPr>
            </w:pPr>
            <w:r w:rsidRPr="0047599C">
              <w:rPr>
                <w:i/>
                <w:iCs/>
                <w:color w:val="000000"/>
              </w:rPr>
              <w:t>Shpenzime personeli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3A4CA4D" w14:textId="373B821F" w:rsidR="00C57BE5" w:rsidRPr="00E26346" w:rsidRDefault="00C57BE5" w:rsidP="00A86849">
            <w:pPr>
              <w:jc w:val="center"/>
            </w:pPr>
            <w:r w:rsidRPr="00813236">
              <w:t>3,920,659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3F1B208" w14:textId="00FBA912" w:rsidR="00C57BE5" w:rsidRDefault="00C57BE5" w:rsidP="00A86849">
            <w:pPr>
              <w:jc w:val="center"/>
            </w:pPr>
            <w:r w:rsidRPr="00813236">
              <w:t>2,329,069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7A47C760" w14:textId="5191C7CB" w:rsidR="00C57BE5" w:rsidRPr="00926C15" w:rsidRDefault="00C57BE5" w:rsidP="00A86849">
            <w:pPr>
              <w:jc w:val="center"/>
            </w:pPr>
            <w:r w:rsidRPr="00813236">
              <w:t>59%</w:t>
            </w:r>
          </w:p>
        </w:tc>
      </w:tr>
      <w:tr w:rsidR="00C57BE5" w:rsidRPr="0047599C" w14:paraId="17E7B169" w14:textId="77777777" w:rsidTr="00953530">
        <w:trPr>
          <w:trHeight w:val="315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9EDF90" w14:textId="77777777" w:rsidR="00C57BE5" w:rsidRPr="0047599C" w:rsidRDefault="00C57BE5" w:rsidP="00A86849">
            <w:pPr>
              <w:jc w:val="center"/>
              <w:rPr>
                <w:color w:val="000000"/>
                <w:sz w:val="22"/>
                <w:szCs w:val="22"/>
              </w:rPr>
            </w:pPr>
            <w:r w:rsidRPr="004759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F39259" w14:textId="77777777" w:rsidR="00C57BE5" w:rsidRPr="0047599C" w:rsidRDefault="00C57BE5" w:rsidP="00A86849">
            <w:pPr>
              <w:rPr>
                <w:i/>
                <w:iCs/>
                <w:color w:val="000000"/>
              </w:rPr>
            </w:pPr>
            <w:r w:rsidRPr="0047599C">
              <w:rPr>
                <w:i/>
                <w:iCs/>
                <w:color w:val="000000"/>
              </w:rPr>
              <w:t>Shpenzime të tjera korente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E421DB3" w14:textId="6B18FD59" w:rsidR="00C57BE5" w:rsidRPr="007F41C1" w:rsidRDefault="00C57BE5" w:rsidP="00A86849">
            <w:pPr>
              <w:jc w:val="center"/>
            </w:pPr>
            <w:r w:rsidRPr="00DB576C">
              <w:t>705,083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7A2CCD" w14:textId="38BC2217" w:rsidR="00C57BE5" w:rsidRDefault="00C57BE5" w:rsidP="00A86849">
            <w:pPr>
              <w:jc w:val="center"/>
            </w:pPr>
            <w:r w:rsidRPr="00DB576C">
              <w:t>334,750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1F1586F9" w14:textId="24748F45" w:rsidR="00C57BE5" w:rsidRPr="00926C15" w:rsidRDefault="00C57BE5" w:rsidP="00A86849">
            <w:pPr>
              <w:jc w:val="center"/>
            </w:pPr>
            <w:r w:rsidRPr="00DB576C">
              <w:t>47%</w:t>
            </w:r>
          </w:p>
        </w:tc>
      </w:tr>
      <w:tr w:rsidR="00C57BE5" w:rsidRPr="0047599C" w14:paraId="499F5781" w14:textId="77777777" w:rsidTr="00C57BE5">
        <w:trPr>
          <w:trHeight w:val="377"/>
        </w:trPr>
        <w:tc>
          <w:tcPr>
            <w:tcW w:w="555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DD067" w14:textId="77777777" w:rsidR="00C57BE5" w:rsidRPr="0047599C" w:rsidRDefault="00C57BE5" w:rsidP="0047599C">
            <w:pPr>
              <w:jc w:val="center"/>
              <w:rPr>
                <w:color w:val="000000"/>
                <w:sz w:val="22"/>
                <w:szCs w:val="22"/>
              </w:rPr>
            </w:pPr>
            <w:r w:rsidRPr="004759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0CF4B" w14:textId="77777777" w:rsidR="00C57BE5" w:rsidRPr="0047599C" w:rsidRDefault="00C57BE5" w:rsidP="0047599C">
            <w:pPr>
              <w:rPr>
                <w:i/>
                <w:iCs/>
                <w:color w:val="000000"/>
              </w:rPr>
            </w:pPr>
            <w:r w:rsidRPr="0047599C">
              <w:rPr>
                <w:i/>
                <w:iCs/>
                <w:color w:val="000000"/>
              </w:rPr>
              <w:t>Shpenzime kapitale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9D3BDA" w14:textId="10D034E6" w:rsidR="00C57BE5" w:rsidRPr="00D7399C" w:rsidRDefault="00C57BE5" w:rsidP="00066039">
            <w:pPr>
              <w:jc w:val="center"/>
            </w:pPr>
            <w:r w:rsidRPr="00355466">
              <w:t>383,000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0DD83C" w14:textId="1E8A2849" w:rsidR="00C57BE5" w:rsidRDefault="00C57BE5" w:rsidP="00066039">
            <w:pPr>
              <w:jc w:val="center"/>
            </w:pPr>
            <w:r w:rsidRPr="00355466">
              <w:t>130,188</w:t>
            </w:r>
          </w:p>
        </w:tc>
        <w:tc>
          <w:tcPr>
            <w:tcW w:w="111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14:paraId="4A2D5EEC" w14:textId="35382BFF" w:rsidR="00C57BE5" w:rsidRPr="00926C15" w:rsidRDefault="00C57BE5" w:rsidP="00066039">
            <w:pPr>
              <w:jc w:val="center"/>
            </w:pPr>
            <w:r w:rsidRPr="00355466">
              <w:t>34%</w:t>
            </w:r>
          </w:p>
        </w:tc>
      </w:tr>
      <w:tr w:rsidR="00C57BE5" w:rsidRPr="0047599C" w14:paraId="14E59AC9" w14:textId="77777777" w:rsidTr="00B10A55">
        <w:trPr>
          <w:trHeight w:val="315"/>
        </w:trPr>
        <w:tc>
          <w:tcPr>
            <w:tcW w:w="4163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000000" w:fill="DAEEF3"/>
            <w:vAlign w:val="center"/>
            <w:hideMark/>
          </w:tcPr>
          <w:p w14:paraId="00ECCC8E" w14:textId="77777777" w:rsidR="00C57BE5" w:rsidRPr="0047599C" w:rsidRDefault="00C57BE5" w:rsidP="004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99C">
              <w:rPr>
                <w:b/>
                <w:bCs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17700B27" w14:textId="349C85CE" w:rsidR="00C57BE5" w:rsidRPr="00FE78D0" w:rsidRDefault="00C57BE5" w:rsidP="00066039">
            <w:pPr>
              <w:jc w:val="center"/>
              <w:rPr>
                <w:b/>
                <w:bCs/>
              </w:rPr>
            </w:pPr>
            <w:r w:rsidRPr="00FE78D0">
              <w:rPr>
                <w:b/>
              </w:rPr>
              <w:t>5,008,742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000000" w:fill="DAEEF3"/>
          </w:tcPr>
          <w:p w14:paraId="4068870C" w14:textId="73C5EE06" w:rsidR="00C57BE5" w:rsidRPr="00FE78D0" w:rsidRDefault="00C57BE5" w:rsidP="00066039">
            <w:pPr>
              <w:jc w:val="center"/>
              <w:rPr>
                <w:b/>
                <w:bCs/>
              </w:rPr>
            </w:pPr>
            <w:r w:rsidRPr="00FE78D0">
              <w:rPr>
                <w:b/>
              </w:rPr>
              <w:t>2,794,007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AEEF3"/>
          </w:tcPr>
          <w:p w14:paraId="0511BF54" w14:textId="6BAE0E38" w:rsidR="00C57BE5" w:rsidRPr="00FE78D0" w:rsidRDefault="00FE78D0" w:rsidP="0006603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C57BE5" w:rsidRPr="00FE78D0">
              <w:rPr>
                <w:b/>
              </w:rPr>
              <w:t>%</w:t>
            </w:r>
          </w:p>
        </w:tc>
      </w:tr>
    </w:tbl>
    <w:p w14:paraId="476FDD5F" w14:textId="77777777" w:rsidR="0047599C" w:rsidRDefault="0047599C" w:rsidP="0046701E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298C62E0" w14:textId="511C3E5C" w:rsidR="008A255F" w:rsidRPr="00E8660D" w:rsidRDefault="008A255F" w:rsidP="008A255F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/>
          <w:bCs/>
          <w:lang w:val="sq-AL"/>
        </w:rPr>
      </w:pPr>
      <w:r w:rsidRPr="00A017AC">
        <w:rPr>
          <w:rFonts w:asciiTheme="majorBidi" w:hAnsiTheme="majorBidi" w:cstheme="majorBidi"/>
          <w:bCs/>
          <w:lang w:val="sq-AL"/>
        </w:rPr>
        <w:t xml:space="preserve">Siç shikohet nga tabela e mësipërme, shpenzimet e personelit, janë realizuar në rreth </w:t>
      </w:r>
      <w:r w:rsidR="002E6E45">
        <w:rPr>
          <w:rFonts w:asciiTheme="majorBidi" w:hAnsiTheme="majorBidi" w:cstheme="majorBidi"/>
          <w:bCs/>
          <w:lang w:val="sq-AL"/>
        </w:rPr>
        <w:t>60</w:t>
      </w:r>
      <w:r w:rsidR="00A86849">
        <w:rPr>
          <w:rFonts w:asciiTheme="majorBidi" w:hAnsiTheme="majorBidi" w:cstheme="majorBidi"/>
          <w:bCs/>
          <w:lang w:val="sq-AL"/>
        </w:rPr>
        <w:t xml:space="preserve"> </w:t>
      </w:r>
      <w:r w:rsidR="00FB6FD1">
        <w:rPr>
          <w:rFonts w:asciiTheme="majorBidi" w:hAnsiTheme="majorBidi" w:cstheme="majorBidi"/>
          <w:bCs/>
          <w:lang w:val="sq-AL"/>
        </w:rPr>
        <w:t xml:space="preserve">për qind të planit </w:t>
      </w:r>
      <w:r w:rsidR="00215AB0">
        <w:rPr>
          <w:rFonts w:asciiTheme="majorBidi" w:hAnsiTheme="majorBidi" w:cstheme="majorBidi"/>
          <w:bCs/>
          <w:lang w:val="sq-AL"/>
        </w:rPr>
        <w:t>vjetor t</w:t>
      </w:r>
      <w:r w:rsidR="00895DCE">
        <w:rPr>
          <w:rFonts w:asciiTheme="majorBidi" w:hAnsiTheme="majorBidi" w:cstheme="majorBidi"/>
          <w:bCs/>
          <w:lang w:val="sq-AL"/>
        </w:rPr>
        <w:t>ë</w:t>
      </w:r>
      <w:r w:rsidR="00215AB0">
        <w:rPr>
          <w:rFonts w:asciiTheme="majorBidi" w:hAnsiTheme="majorBidi" w:cstheme="majorBidi"/>
          <w:bCs/>
          <w:lang w:val="sq-AL"/>
        </w:rPr>
        <w:t xml:space="preserve"> vitit 202</w:t>
      </w:r>
      <w:r w:rsidR="00A86849">
        <w:rPr>
          <w:rFonts w:asciiTheme="majorBidi" w:hAnsiTheme="majorBidi" w:cstheme="majorBidi"/>
          <w:bCs/>
          <w:lang w:val="sq-AL"/>
        </w:rPr>
        <w:t>4</w:t>
      </w:r>
      <w:r w:rsidRPr="00A017AC">
        <w:rPr>
          <w:rFonts w:asciiTheme="majorBidi" w:hAnsiTheme="majorBidi" w:cstheme="majorBidi"/>
          <w:bCs/>
          <w:lang w:val="sq-AL"/>
        </w:rPr>
        <w:t xml:space="preserve">, shpenzimet e tjera korente në total për KLGJ, janë realizuar në </w:t>
      </w:r>
      <w:r w:rsidR="0047599C">
        <w:rPr>
          <w:rFonts w:asciiTheme="majorBidi" w:hAnsiTheme="majorBidi" w:cstheme="majorBidi"/>
          <w:bCs/>
          <w:lang w:val="sq-AL"/>
        </w:rPr>
        <w:t>rreth</w:t>
      </w:r>
      <w:r w:rsidR="00323755">
        <w:rPr>
          <w:rFonts w:asciiTheme="majorBidi" w:hAnsiTheme="majorBidi" w:cstheme="majorBidi"/>
          <w:bCs/>
          <w:lang w:val="sq-AL"/>
        </w:rPr>
        <w:t xml:space="preserve"> </w:t>
      </w:r>
      <w:r w:rsidR="002E6E45">
        <w:rPr>
          <w:rFonts w:asciiTheme="majorBidi" w:hAnsiTheme="majorBidi" w:cstheme="majorBidi"/>
          <w:bCs/>
          <w:lang w:val="sq-AL"/>
        </w:rPr>
        <w:lastRenderedPageBreak/>
        <w:t>47</w:t>
      </w:r>
      <w:r w:rsidR="0047599C">
        <w:rPr>
          <w:rFonts w:asciiTheme="majorBidi" w:hAnsiTheme="majorBidi" w:cstheme="majorBidi"/>
          <w:bCs/>
          <w:lang w:val="sq-AL"/>
        </w:rPr>
        <w:t xml:space="preserve"> për qind të planit. </w:t>
      </w:r>
      <w:r w:rsidR="00DD2BCD">
        <w:rPr>
          <w:rFonts w:asciiTheme="majorBidi" w:hAnsiTheme="majorBidi" w:cstheme="majorBidi"/>
          <w:bCs/>
          <w:lang w:val="sq-AL"/>
        </w:rPr>
        <w:t>Realizimi n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 xml:space="preserve"> k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>t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 xml:space="preserve"> mas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>
        <w:rPr>
          <w:rFonts w:asciiTheme="majorBidi" w:hAnsiTheme="majorBidi" w:cstheme="majorBidi"/>
          <w:bCs/>
          <w:lang w:val="sq-AL"/>
        </w:rPr>
        <w:t xml:space="preserve"> i fondeve </w:t>
      </w:r>
      <w:r w:rsidR="00157F93" w:rsidRPr="00D4344C">
        <w:rPr>
          <w:rFonts w:asciiTheme="majorBidi" w:hAnsiTheme="majorBidi" w:cstheme="majorBidi"/>
          <w:bCs/>
          <w:lang w:val="sq-AL"/>
        </w:rPr>
        <w:t>n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157F93" w:rsidRPr="00D4344C">
        <w:rPr>
          <w:rFonts w:asciiTheme="majorBidi" w:hAnsiTheme="majorBidi" w:cstheme="majorBidi"/>
          <w:bCs/>
          <w:lang w:val="sq-AL"/>
        </w:rPr>
        <w:t xml:space="preserve"> z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157F93" w:rsidRPr="00D4344C">
        <w:rPr>
          <w:rFonts w:asciiTheme="majorBidi" w:hAnsiTheme="majorBidi" w:cstheme="majorBidi"/>
          <w:bCs/>
          <w:lang w:val="sq-AL"/>
        </w:rPr>
        <w:t xml:space="preserve">rin </w:t>
      </w:r>
      <w:r w:rsidR="00E8660D" w:rsidRPr="00D4344C">
        <w:rPr>
          <w:rFonts w:asciiTheme="majorBidi" w:hAnsiTheme="majorBidi" w:cstheme="majorBidi"/>
          <w:bCs/>
          <w:lang w:val="sq-AL"/>
        </w:rPr>
        <w:t>shpenzime personeli vjen p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E8660D" w:rsidRPr="00D4344C">
        <w:rPr>
          <w:rFonts w:asciiTheme="majorBidi" w:hAnsiTheme="majorBidi" w:cstheme="majorBidi"/>
          <w:bCs/>
          <w:lang w:val="sq-AL"/>
        </w:rPr>
        <w:t>r shkak t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E8660D" w:rsidRPr="00D4344C">
        <w:rPr>
          <w:rFonts w:asciiTheme="majorBidi" w:hAnsiTheme="majorBidi" w:cstheme="majorBidi"/>
          <w:bCs/>
          <w:lang w:val="sq-AL"/>
        </w:rPr>
        <w:t xml:space="preserve"> vakancave t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E8660D" w:rsidRPr="00D4344C">
        <w:rPr>
          <w:rFonts w:asciiTheme="majorBidi" w:hAnsiTheme="majorBidi" w:cstheme="majorBidi"/>
          <w:bCs/>
          <w:lang w:val="sq-AL"/>
        </w:rPr>
        <w:t xml:space="preserve"> organik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2D6B92" w:rsidRPr="00D4344C">
        <w:rPr>
          <w:rFonts w:asciiTheme="majorBidi" w:hAnsiTheme="majorBidi" w:cstheme="majorBidi"/>
          <w:bCs/>
          <w:lang w:val="sq-AL"/>
        </w:rPr>
        <w:t>s</w:t>
      </w:r>
      <w:r w:rsidR="00A86849">
        <w:rPr>
          <w:rFonts w:asciiTheme="majorBidi" w:hAnsiTheme="majorBidi" w:cstheme="majorBidi"/>
          <w:bCs/>
          <w:lang w:val="sq-AL"/>
        </w:rPr>
        <w:t>, nd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>rkoh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fondet p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>r shpenzime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tjera korrente priten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realizohen 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vijim pasi jan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proces procedurat e prokurimit.</w:t>
      </w:r>
      <w:r w:rsidR="002D6B92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BE6B56" w:rsidRPr="00D4344C">
        <w:rPr>
          <w:rFonts w:asciiTheme="majorBidi" w:hAnsiTheme="majorBidi" w:cstheme="majorBidi"/>
          <w:bCs/>
          <w:lang w:val="sq-AL"/>
        </w:rPr>
        <w:t>P</w:t>
      </w:r>
      <w:r w:rsidRPr="00D4344C">
        <w:rPr>
          <w:rFonts w:asciiTheme="majorBidi" w:hAnsiTheme="majorBidi" w:cstheme="majorBidi"/>
          <w:bCs/>
          <w:lang w:val="sq-AL"/>
        </w:rPr>
        <w:t>ër</w:t>
      </w:r>
      <w:r w:rsidR="00AD5A66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2E6E45">
        <w:rPr>
          <w:rFonts w:asciiTheme="majorBidi" w:hAnsiTheme="majorBidi" w:cstheme="majorBidi"/>
          <w:bCs/>
          <w:lang w:val="sq-AL"/>
        </w:rPr>
        <w:t>8</w:t>
      </w:r>
      <w:r w:rsidR="00A86849">
        <w:rPr>
          <w:rFonts w:asciiTheme="majorBidi" w:hAnsiTheme="majorBidi" w:cstheme="majorBidi"/>
          <w:bCs/>
          <w:lang w:val="sq-AL"/>
        </w:rPr>
        <w:t xml:space="preserve"> mujorin e </w:t>
      </w:r>
      <w:r w:rsidR="00AD5A66" w:rsidRPr="00D4344C">
        <w:rPr>
          <w:rFonts w:asciiTheme="majorBidi" w:hAnsiTheme="majorBidi" w:cstheme="majorBidi"/>
          <w:bCs/>
          <w:lang w:val="sq-AL"/>
        </w:rPr>
        <w:t>viti</w:t>
      </w:r>
      <w:r w:rsidR="00A86849">
        <w:rPr>
          <w:rFonts w:asciiTheme="majorBidi" w:hAnsiTheme="majorBidi" w:cstheme="majorBidi"/>
          <w:bCs/>
          <w:lang w:val="sq-AL"/>
        </w:rPr>
        <w:t>t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AD5A66" w:rsidRPr="00D4344C">
        <w:rPr>
          <w:rFonts w:asciiTheme="majorBidi" w:hAnsiTheme="majorBidi" w:cstheme="majorBidi"/>
          <w:bCs/>
          <w:lang w:val="sq-AL"/>
        </w:rPr>
        <w:t>202</w:t>
      </w:r>
      <w:r w:rsidR="00A86849">
        <w:rPr>
          <w:rFonts w:asciiTheme="majorBidi" w:hAnsiTheme="majorBidi" w:cstheme="majorBidi"/>
          <w:bCs/>
          <w:lang w:val="sq-AL"/>
        </w:rPr>
        <w:t>4,</w:t>
      </w:r>
      <w:r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323755" w:rsidRPr="00D4344C">
        <w:rPr>
          <w:rFonts w:asciiTheme="majorBidi" w:hAnsiTheme="majorBidi" w:cstheme="majorBidi"/>
          <w:bCs/>
          <w:lang w:val="sq-AL"/>
        </w:rPr>
        <w:t>realizimi i shpenzimeve</w:t>
      </w:r>
      <w:r w:rsidRPr="00D4344C">
        <w:rPr>
          <w:rFonts w:asciiTheme="majorBidi" w:hAnsiTheme="majorBidi" w:cstheme="majorBidi"/>
          <w:bCs/>
          <w:lang w:val="sq-AL"/>
        </w:rPr>
        <w:t xml:space="preserve"> kapitale 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>sht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 n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 vler</w:t>
      </w:r>
      <w:r w:rsidR="000E5D47" w:rsidRPr="00D4344C">
        <w:rPr>
          <w:rFonts w:asciiTheme="majorBidi" w:hAnsiTheme="majorBidi" w:cstheme="majorBidi"/>
          <w:bCs/>
          <w:lang w:val="sq-AL"/>
        </w:rPr>
        <w:t>ë</w:t>
      </w:r>
      <w:r w:rsidR="00323755" w:rsidRPr="00D4344C">
        <w:rPr>
          <w:rFonts w:asciiTheme="majorBidi" w:hAnsiTheme="majorBidi" w:cstheme="majorBidi"/>
          <w:bCs/>
          <w:lang w:val="sq-AL"/>
        </w:rPr>
        <w:t xml:space="preserve">n </w:t>
      </w:r>
      <w:r w:rsidR="004D2601" w:rsidRPr="00D4344C">
        <w:rPr>
          <w:rFonts w:asciiTheme="majorBidi" w:hAnsiTheme="majorBidi" w:cstheme="majorBidi"/>
          <w:bCs/>
          <w:lang w:val="sq-AL"/>
        </w:rPr>
        <w:t xml:space="preserve">rreth </w:t>
      </w:r>
      <w:r w:rsidR="002E6E45">
        <w:rPr>
          <w:rFonts w:asciiTheme="majorBidi" w:hAnsiTheme="majorBidi" w:cstheme="majorBidi"/>
          <w:bCs/>
          <w:lang w:val="sq-AL"/>
        </w:rPr>
        <w:t>34</w:t>
      </w:r>
      <w:r w:rsidR="004D2601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2D6B92" w:rsidRPr="00D4344C">
        <w:rPr>
          <w:rFonts w:asciiTheme="majorBidi" w:hAnsiTheme="majorBidi" w:cstheme="majorBidi"/>
          <w:bCs/>
          <w:lang w:val="sq-AL"/>
        </w:rPr>
        <w:t xml:space="preserve">për qind të planit vjetor </w:t>
      </w:r>
      <w:r w:rsidR="00A86849">
        <w:rPr>
          <w:rFonts w:asciiTheme="majorBidi" w:hAnsiTheme="majorBidi" w:cstheme="majorBidi"/>
          <w:bCs/>
          <w:lang w:val="sq-AL"/>
        </w:rPr>
        <w:t>si rrjedhoj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</w:t>
      </w:r>
      <w:r w:rsidR="00D4344C">
        <w:rPr>
          <w:rFonts w:asciiTheme="majorBidi" w:hAnsiTheme="majorBidi" w:cstheme="majorBidi"/>
          <w:bCs/>
          <w:lang w:val="sq-AL"/>
        </w:rPr>
        <w:t>e</w:t>
      </w:r>
      <w:r w:rsidR="00DD2BCD" w:rsidRPr="00D4344C">
        <w:rPr>
          <w:rFonts w:asciiTheme="majorBidi" w:hAnsiTheme="majorBidi" w:cstheme="majorBidi"/>
          <w:bCs/>
          <w:lang w:val="sq-AL"/>
        </w:rPr>
        <w:t xml:space="preserve"> procedura</w:t>
      </w:r>
      <w:r w:rsidR="00D4344C">
        <w:rPr>
          <w:rFonts w:asciiTheme="majorBidi" w:hAnsiTheme="majorBidi" w:cstheme="majorBidi"/>
          <w:bCs/>
          <w:lang w:val="sq-AL"/>
        </w:rPr>
        <w:t>ve</w:t>
      </w:r>
      <w:r w:rsidR="00DD2BCD" w:rsidRPr="00D4344C">
        <w:rPr>
          <w:rFonts w:asciiTheme="majorBidi" w:hAnsiTheme="majorBidi" w:cstheme="majorBidi"/>
          <w:bCs/>
          <w:lang w:val="sq-AL"/>
        </w:rPr>
        <w:t xml:space="preserve"> </w:t>
      </w:r>
      <w:r w:rsidR="00D4344C">
        <w:rPr>
          <w:rFonts w:asciiTheme="majorBidi" w:hAnsiTheme="majorBidi" w:cstheme="majorBidi"/>
          <w:bCs/>
          <w:lang w:val="sq-AL"/>
        </w:rPr>
        <w:t>t</w:t>
      </w:r>
      <w:r w:rsidR="00297037">
        <w:rPr>
          <w:rFonts w:asciiTheme="majorBidi" w:hAnsiTheme="majorBidi" w:cstheme="majorBidi"/>
          <w:bCs/>
          <w:lang w:val="sq-AL"/>
        </w:rPr>
        <w:t>ë</w:t>
      </w:r>
      <w:r w:rsidR="00DD2BCD" w:rsidRPr="00D4344C">
        <w:rPr>
          <w:rFonts w:asciiTheme="majorBidi" w:hAnsiTheme="majorBidi" w:cstheme="majorBidi"/>
          <w:bCs/>
          <w:lang w:val="sq-AL"/>
        </w:rPr>
        <w:t xml:space="preserve"> prokurimit</w:t>
      </w:r>
      <w:r w:rsidR="00A86849">
        <w:rPr>
          <w:rFonts w:asciiTheme="majorBidi" w:hAnsiTheme="majorBidi" w:cstheme="majorBidi"/>
          <w:bCs/>
          <w:lang w:val="sq-AL"/>
        </w:rPr>
        <w:t>, t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cilat jan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ende n</w:t>
      </w:r>
      <w:r w:rsidR="007D1FD0">
        <w:rPr>
          <w:rFonts w:asciiTheme="majorBidi" w:hAnsiTheme="majorBidi" w:cstheme="majorBidi"/>
          <w:bCs/>
          <w:lang w:val="sq-AL"/>
        </w:rPr>
        <w:t>ë</w:t>
      </w:r>
      <w:r w:rsidR="00A86849">
        <w:rPr>
          <w:rFonts w:asciiTheme="majorBidi" w:hAnsiTheme="majorBidi" w:cstheme="majorBidi"/>
          <w:bCs/>
          <w:lang w:val="sq-AL"/>
        </w:rPr>
        <w:t xml:space="preserve"> proces.</w:t>
      </w:r>
      <w:r w:rsidR="002D6B92" w:rsidRPr="00D4344C">
        <w:rPr>
          <w:rFonts w:asciiTheme="majorBidi" w:hAnsiTheme="majorBidi" w:cstheme="majorBidi"/>
          <w:bCs/>
          <w:lang w:val="sq-AL"/>
        </w:rPr>
        <w:t xml:space="preserve"> </w:t>
      </w:r>
    </w:p>
    <w:p w14:paraId="09B9EB4B" w14:textId="77777777" w:rsidR="008A255F" w:rsidRPr="00A017AC" w:rsidRDefault="008A255F" w:rsidP="008A255F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A017AC">
        <w:rPr>
          <w:rFonts w:asciiTheme="majorBidi" w:hAnsiTheme="majorBidi" w:cstheme="majorBidi"/>
          <w:b/>
          <w:lang w:val="sq-AL"/>
        </w:rPr>
        <w:t>Informacion mbi volumin dhe madhësinë e ndryshimit të buxhetit.</w:t>
      </w:r>
    </w:p>
    <w:p w14:paraId="3C844D66" w14:textId="4B2F80A0" w:rsidR="00AA1334" w:rsidRPr="00AA1334" w:rsidRDefault="00AA1334" w:rsidP="00AA1334">
      <w:pPr>
        <w:jc w:val="both"/>
        <w:rPr>
          <w:lang w:val="sq-AL"/>
        </w:rPr>
      </w:pPr>
      <w:r w:rsidRPr="00AA1334">
        <w:rPr>
          <w:lang w:val="sq-AL"/>
        </w:rPr>
        <w:t>Për të gjitha programet e kë</w:t>
      </w:r>
      <w:r>
        <w:rPr>
          <w:lang w:val="sq-AL"/>
        </w:rPr>
        <w:t>tij institucioni</w:t>
      </w:r>
      <w:r w:rsidRPr="00AA1334">
        <w:rPr>
          <w:lang w:val="sq-AL"/>
        </w:rPr>
        <w:t xml:space="preserve"> situata në lidhje me ndryshimet në planifikim përfshirë këtu buxhetin fillestar dhe buxhetin me ndryshimet e ndodhura </w:t>
      </w:r>
      <w:r w:rsidR="00AD5A66">
        <w:rPr>
          <w:lang w:val="sq-AL"/>
        </w:rPr>
        <w:t>p</w:t>
      </w:r>
      <w:r w:rsidR="00895DCE">
        <w:rPr>
          <w:lang w:val="sq-AL"/>
        </w:rPr>
        <w:t>ë</w:t>
      </w:r>
      <w:r w:rsidR="00AD5A66">
        <w:rPr>
          <w:lang w:val="sq-AL"/>
        </w:rPr>
        <w:t>rgjat</w:t>
      </w:r>
      <w:r w:rsidR="00895DCE">
        <w:rPr>
          <w:lang w:val="sq-AL"/>
        </w:rPr>
        <w:t>ë</w:t>
      </w:r>
      <w:r w:rsidR="00AD5A66">
        <w:rPr>
          <w:lang w:val="sq-AL"/>
        </w:rPr>
        <w:t xml:space="preserve"> 202</w:t>
      </w:r>
      <w:r w:rsidR="00A86849">
        <w:rPr>
          <w:lang w:val="sq-AL"/>
        </w:rPr>
        <w:t>4</w:t>
      </w:r>
      <w:r w:rsidRPr="00AA1334">
        <w:rPr>
          <w:lang w:val="sq-AL"/>
        </w:rPr>
        <w:t>, paraqitet në tabelën e mëposhtme:</w:t>
      </w:r>
    </w:p>
    <w:p w14:paraId="3A9A21E3" w14:textId="77777777" w:rsidR="00AA1334" w:rsidRPr="00AA1334" w:rsidRDefault="00AA1334" w:rsidP="00AA1334">
      <w:pPr>
        <w:pStyle w:val="ListParagraph"/>
        <w:ind w:left="7920"/>
        <w:jc w:val="both"/>
        <w:rPr>
          <w:rFonts w:ascii="Bookman Old Style" w:hAnsi="Bookman Old Style"/>
          <w:i/>
          <w:lang w:val="sq-AL"/>
        </w:rPr>
      </w:pPr>
      <w:r w:rsidRPr="00AA1334">
        <w:rPr>
          <w:rFonts w:ascii="Bookman Old Style" w:hAnsi="Bookman Old Style"/>
          <w:lang w:val="sq-AL"/>
        </w:rPr>
        <w:t xml:space="preserve">                                                                                                                   </w:t>
      </w:r>
      <w:r w:rsidRPr="00AA1334">
        <w:rPr>
          <w:rFonts w:ascii="Bookman Old Style" w:hAnsi="Bookman Old Style"/>
          <w:i/>
          <w:sz w:val="18"/>
          <w:szCs w:val="18"/>
          <w:lang w:val="sq-AL"/>
        </w:rPr>
        <w:t xml:space="preserve">                                                    </w:t>
      </w:r>
      <w:r>
        <w:rPr>
          <w:rFonts w:ascii="Bookman Old Style" w:hAnsi="Bookman Old Style"/>
          <w:i/>
          <w:sz w:val="18"/>
          <w:szCs w:val="18"/>
          <w:lang w:val="sq-AL"/>
        </w:rPr>
        <w:t xml:space="preserve">    </w:t>
      </w:r>
      <w:r w:rsidRPr="00AA1334">
        <w:rPr>
          <w:i/>
          <w:sz w:val="18"/>
          <w:szCs w:val="18"/>
          <w:lang w:val="sq-AL"/>
        </w:rPr>
        <w:t>në 000/lekë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530"/>
        <w:gridCol w:w="1530"/>
        <w:gridCol w:w="1530"/>
      </w:tblGrid>
      <w:tr w:rsidR="00AA1334" w:rsidRPr="00AF4F1D" w14:paraId="0BFEDE1E" w14:textId="77777777" w:rsidTr="00AA1334">
        <w:tc>
          <w:tcPr>
            <w:tcW w:w="4788" w:type="dxa"/>
            <w:vMerge w:val="restart"/>
            <w:shd w:val="clear" w:color="auto" w:fill="DAEEF3" w:themeFill="accent5" w:themeFillTint="33"/>
          </w:tcPr>
          <w:p w14:paraId="4612E784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E489BED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Programet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2292BF4C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 xml:space="preserve">Buxheti fillestar 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72C1852C" w14:textId="77777777" w:rsidR="00AA1334" w:rsidRPr="00AA1334" w:rsidRDefault="00AA1334" w:rsidP="002C13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Buxheti me ndryshime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051EDC87" w14:textId="77777777" w:rsidR="00AA1334" w:rsidRPr="00AA1334" w:rsidRDefault="00AA1334" w:rsidP="002C13BB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Diferenca</w:t>
            </w:r>
          </w:p>
        </w:tc>
      </w:tr>
      <w:tr w:rsidR="00AA1334" w:rsidRPr="00AF4F1D" w14:paraId="7F5879A4" w14:textId="77777777" w:rsidTr="00AA1334">
        <w:trPr>
          <w:trHeight w:val="233"/>
        </w:trPr>
        <w:tc>
          <w:tcPr>
            <w:tcW w:w="4788" w:type="dxa"/>
            <w:vMerge/>
            <w:shd w:val="clear" w:color="auto" w:fill="DAEEF3" w:themeFill="accent5" w:themeFillTint="33"/>
          </w:tcPr>
          <w:p w14:paraId="4B9BEBC8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14:paraId="37B12B0D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22CD71EF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3E9899FE" w14:textId="77777777" w:rsidR="00AA1334" w:rsidRPr="00AA1334" w:rsidRDefault="00AA1334" w:rsidP="00AA13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1334">
              <w:rPr>
                <w:b/>
                <w:bCs/>
                <w:color w:val="000000"/>
                <w:sz w:val="20"/>
                <w:szCs w:val="20"/>
              </w:rPr>
              <w:t>(3=2-1)</w:t>
            </w:r>
          </w:p>
        </w:tc>
      </w:tr>
      <w:tr w:rsidR="00CA4CF1" w:rsidRPr="00AF4F1D" w14:paraId="62A4120D" w14:textId="77777777" w:rsidTr="002C13BB">
        <w:trPr>
          <w:trHeight w:val="287"/>
        </w:trPr>
        <w:tc>
          <w:tcPr>
            <w:tcW w:w="4788" w:type="dxa"/>
          </w:tcPr>
          <w:p w14:paraId="003F76A7" w14:textId="77777777" w:rsidR="00CA4CF1" w:rsidRPr="00AA1334" w:rsidRDefault="00CA4CF1" w:rsidP="00CA4CF1">
            <w:pPr>
              <w:pStyle w:val="ListParagraph"/>
              <w:tabs>
                <w:tab w:val="left" w:pos="7020"/>
              </w:tabs>
              <w:ind w:left="90"/>
              <w:jc w:val="both"/>
              <w:rPr>
                <w:i/>
                <w:sz w:val="23"/>
                <w:szCs w:val="23"/>
                <w:lang w:val="sq-AL"/>
              </w:rPr>
            </w:pPr>
            <w:r w:rsidRPr="00AA1334">
              <w:rPr>
                <w:i/>
                <w:sz w:val="23"/>
                <w:szCs w:val="23"/>
                <w:lang w:val="sq-AL"/>
              </w:rPr>
              <w:t>1</w:t>
            </w:r>
            <w:r w:rsidRPr="00AA1334">
              <w:rPr>
                <w:bCs/>
                <w:i/>
                <w:color w:val="000000"/>
              </w:rPr>
              <w:t xml:space="preserve"> Planifikimi, Menaxhimi dhe Administrimi</w:t>
            </w:r>
          </w:p>
        </w:tc>
        <w:tc>
          <w:tcPr>
            <w:tcW w:w="1530" w:type="dxa"/>
          </w:tcPr>
          <w:p w14:paraId="1DB791B4" w14:textId="3A33223C" w:rsidR="00CA4CF1" w:rsidRPr="00AF4F1D" w:rsidRDefault="00CA4CF1" w:rsidP="00CA4CF1">
            <w:pPr>
              <w:jc w:val="right"/>
              <w:rPr>
                <w:sz w:val="23"/>
                <w:szCs w:val="23"/>
                <w:lang w:val="sq-AL"/>
              </w:rPr>
            </w:pPr>
            <w:r w:rsidRPr="00702C05">
              <w:t>381,059</w:t>
            </w:r>
          </w:p>
        </w:tc>
        <w:tc>
          <w:tcPr>
            <w:tcW w:w="1530" w:type="dxa"/>
          </w:tcPr>
          <w:p w14:paraId="265D603D" w14:textId="15E61D73" w:rsidR="00CA4CF1" w:rsidRPr="00FF4893" w:rsidRDefault="002E6E45" w:rsidP="00CA4CF1">
            <w:pPr>
              <w:jc w:val="right"/>
            </w:pPr>
            <w:r w:rsidRPr="002E6E45">
              <w:t>385,265</w:t>
            </w:r>
          </w:p>
        </w:tc>
        <w:tc>
          <w:tcPr>
            <w:tcW w:w="1530" w:type="dxa"/>
          </w:tcPr>
          <w:p w14:paraId="6741CEB6" w14:textId="2833ED26" w:rsidR="00CA4CF1" w:rsidRPr="00130C82" w:rsidRDefault="002E6E45" w:rsidP="00CA4CF1">
            <w:pPr>
              <w:jc w:val="right"/>
            </w:pPr>
            <w:r>
              <w:t>4,206</w:t>
            </w:r>
          </w:p>
        </w:tc>
      </w:tr>
      <w:tr w:rsidR="00CA4CF1" w:rsidRPr="00AF4F1D" w14:paraId="071896BD" w14:textId="77777777" w:rsidTr="002C13BB">
        <w:trPr>
          <w:trHeight w:val="269"/>
        </w:trPr>
        <w:tc>
          <w:tcPr>
            <w:tcW w:w="4788" w:type="dxa"/>
          </w:tcPr>
          <w:p w14:paraId="4B55792E" w14:textId="77777777" w:rsidR="00CA4CF1" w:rsidRPr="00AA1334" w:rsidRDefault="00CA4CF1" w:rsidP="00CA4CF1">
            <w:pPr>
              <w:pStyle w:val="ListParagraph"/>
              <w:ind w:left="90"/>
              <w:jc w:val="both"/>
              <w:rPr>
                <w:i/>
                <w:sz w:val="23"/>
                <w:szCs w:val="23"/>
                <w:lang w:val="sq-AL"/>
              </w:rPr>
            </w:pPr>
            <w:r w:rsidRPr="00AA1334">
              <w:rPr>
                <w:rFonts w:eastAsia="Calibri"/>
                <w:i/>
                <w:color w:val="000000"/>
                <w:sz w:val="23"/>
                <w:szCs w:val="23"/>
                <w:lang w:val="sq-AL"/>
              </w:rPr>
              <w:t>2.</w:t>
            </w:r>
            <w:r>
              <w:t xml:space="preserve"> </w:t>
            </w:r>
            <w:r w:rsidRPr="00AA1334">
              <w:rPr>
                <w:bCs/>
                <w:i/>
                <w:color w:val="000000"/>
              </w:rPr>
              <w:t>Buxheti Gjyqësor</w:t>
            </w:r>
          </w:p>
        </w:tc>
        <w:tc>
          <w:tcPr>
            <w:tcW w:w="1530" w:type="dxa"/>
          </w:tcPr>
          <w:p w14:paraId="2916A83D" w14:textId="3686CDB1" w:rsidR="00CA4CF1" w:rsidRPr="00AF4F1D" w:rsidRDefault="00CA4CF1" w:rsidP="00CA4CF1">
            <w:pPr>
              <w:jc w:val="right"/>
              <w:rPr>
                <w:sz w:val="23"/>
                <w:szCs w:val="23"/>
                <w:lang w:val="sq-AL"/>
              </w:rPr>
            </w:pPr>
            <w:r w:rsidRPr="00702C05">
              <w:t>4,569,</w:t>
            </w:r>
            <w:r>
              <w:t>600</w:t>
            </w:r>
          </w:p>
        </w:tc>
        <w:tc>
          <w:tcPr>
            <w:tcW w:w="1530" w:type="dxa"/>
          </w:tcPr>
          <w:p w14:paraId="6540ED6C" w14:textId="6BAEB708" w:rsidR="00CA4CF1" w:rsidRPr="00FF4893" w:rsidRDefault="002E6E45" w:rsidP="00CA4CF1">
            <w:pPr>
              <w:jc w:val="right"/>
            </w:pPr>
            <w:r w:rsidRPr="002E6E45">
              <w:t>4,606,577</w:t>
            </w:r>
          </w:p>
        </w:tc>
        <w:tc>
          <w:tcPr>
            <w:tcW w:w="1530" w:type="dxa"/>
          </w:tcPr>
          <w:p w14:paraId="06E12A18" w14:textId="75C88219" w:rsidR="00CA4CF1" w:rsidRPr="00130C82" w:rsidRDefault="002E6E45" w:rsidP="00CA4CF1">
            <w:pPr>
              <w:jc w:val="right"/>
            </w:pPr>
            <w:r>
              <w:t>36,977</w:t>
            </w:r>
          </w:p>
        </w:tc>
      </w:tr>
      <w:tr w:rsidR="00CA4CF1" w:rsidRPr="00AF4F1D" w14:paraId="0D0A1CA2" w14:textId="77777777" w:rsidTr="002C13BB">
        <w:tc>
          <w:tcPr>
            <w:tcW w:w="4788" w:type="dxa"/>
          </w:tcPr>
          <w:p w14:paraId="555B9717" w14:textId="77777777" w:rsidR="00CA4CF1" w:rsidRPr="00AA1334" w:rsidRDefault="00CA4CF1" w:rsidP="00CA4CF1">
            <w:pPr>
              <w:pStyle w:val="ListParagraph"/>
              <w:ind w:left="90"/>
              <w:jc w:val="both"/>
              <w:rPr>
                <w:i/>
                <w:sz w:val="23"/>
                <w:szCs w:val="23"/>
                <w:lang w:val="sq-AL"/>
              </w:rPr>
            </w:pPr>
            <w:r w:rsidRPr="00AA1334">
              <w:rPr>
                <w:rFonts w:eastAsia="Calibri"/>
                <w:i/>
                <w:color w:val="000000"/>
                <w:sz w:val="23"/>
                <w:szCs w:val="23"/>
                <w:lang w:val="sq-AL"/>
              </w:rPr>
              <w:t xml:space="preserve">3. </w:t>
            </w:r>
            <w:r w:rsidRPr="00AA1334">
              <w:rPr>
                <w:bCs/>
                <w:i/>
                <w:color w:val="000000"/>
              </w:rPr>
              <w:t>Mbështetje për teknologjinë e sistemit të drejtësisë</w:t>
            </w:r>
          </w:p>
        </w:tc>
        <w:tc>
          <w:tcPr>
            <w:tcW w:w="1530" w:type="dxa"/>
          </w:tcPr>
          <w:p w14:paraId="35C043AB" w14:textId="79C21474" w:rsidR="00CA4CF1" w:rsidRPr="00AF4F1D" w:rsidRDefault="00CA4CF1" w:rsidP="00CA4CF1">
            <w:pPr>
              <w:jc w:val="right"/>
              <w:rPr>
                <w:sz w:val="23"/>
                <w:szCs w:val="23"/>
                <w:lang w:val="sq-AL"/>
              </w:rPr>
            </w:pPr>
            <w:r w:rsidRPr="00702C05">
              <w:t>16,800</w:t>
            </w:r>
          </w:p>
        </w:tc>
        <w:tc>
          <w:tcPr>
            <w:tcW w:w="1530" w:type="dxa"/>
          </w:tcPr>
          <w:p w14:paraId="2BF0C9B2" w14:textId="29D22290" w:rsidR="00CA4CF1" w:rsidRDefault="002E6E45" w:rsidP="00CA4CF1">
            <w:pPr>
              <w:jc w:val="right"/>
            </w:pPr>
            <w:r w:rsidRPr="002E6E45">
              <w:t>16,900</w:t>
            </w:r>
          </w:p>
        </w:tc>
        <w:tc>
          <w:tcPr>
            <w:tcW w:w="1530" w:type="dxa"/>
          </w:tcPr>
          <w:p w14:paraId="4F766B95" w14:textId="2A0DFDA6" w:rsidR="00CA4CF1" w:rsidRPr="00130C82" w:rsidRDefault="002E6E45" w:rsidP="00CA4CF1">
            <w:pPr>
              <w:jc w:val="right"/>
            </w:pPr>
            <w:r>
              <w:t>100</w:t>
            </w:r>
          </w:p>
        </w:tc>
      </w:tr>
      <w:tr w:rsidR="002D6B92" w:rsidRPr="00695E1F" w14:paraId="353CB60C" w14:textId="77777777" w:rsidTr="00AA1334">
        <w:trPr>
          <w:trHeight w:val="181"/>
        </w:trPr>
        <w:tc>
          <w:tcPr>
            <w:tcW w:w="4788" w:type="dxa"/>
            <w:shd w:val="clear" w:color="auto" w:fill="DAEEF3" w:themeFill="accent5" w:themeFillTint="33"/>
          </w:tcPr>
          <w:p w14:paraId="57F91CBC" w14:textId="77777777" w:rsidR="002D6B92" w:rsidRPr="00AF4F1D" w:rsidRDefault="002D6B92" w:rsidP="002C13BB">
            <w:pPr>
              <w:rPr>
                <w:b/>
                <w:sz w:val="23"/>
                <w:szCs w:val="23"/>
                <w:lang w:val="sq-AL"/>
              </w:rPr>
            </w:pPr>
            <w:r w:rsidRPr="00AF4F1D">
              <w:rPr>
                <w:sz w:val="23"/>
                <w:szCs w:val="23"/>
                <w:lang w:val="sq-AL"/>
              </w:rPr>
              <w:t xml:space="preserve">                        </w:t>
            </w:r>
            <w:r w:rsidRPr="00AF4F1D">
              <w:rPr>
                <w:b/>
                <w:sz w:val="23"/>
                <w:szCs w:val="23"/>
                <w:lang w:val="sq-AL"/>
              </w:rPr>
              <w:t>TOTALI I MINISTRISE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0AD046BF" w14:textId="4152C4D8" w:rsidR="002D6B92" w:rsidRPr="00C86686" w:rsidRDefault="00CA4CF1" w:rsidP="00C86686">
            <w:pPr>
              <w:jc w:val="right"/>
              <w:rPr>
                <w:b/>
                <w:bCs/>
                <w:sz w:val="23"/>
                <w:szCs w:val="23"/>
              </w:rPr>
            </w:pPr>
            <w:r w:rsidRPr="00CA4CF1">
              <w:rPr>
                <w:b/>
                <w:bCs/>
                <w:sz w:val="23"/>
                <w:szCs w:val="23"/>
              </w:rPr>
              <w:t>4,967,459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7336B6D2" w14:textId="538B822E" w:rsidR="002D6B92" w:rsidRPr="00AF4F1D" w:rsidRDefault="002E6E45" w:rsidP="002D6B92">
            <w:pPr>
              <w:jc w:val="right"/>
              <w:rPr>
                <w:b/>
                <w:sz w:val="23"/>
                <w:szCs w:val="23"/>
                <w:lang w:val="sq-AL"/>
              </w:rPr>
            </w:pPr>
            <w:r w:rsidRPr="002E6E45">
              <w:rPr>
                <w:b/>
                <w:sz w:val="23"/>
                <w:szCs w:val="23"/>
                <w:lang w:val="sq-AL"/>
              </w:rPr>
              <w:t>5,008,742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1510814A" w14:textId="6B1D8C37" w:rsidR="002D6B92" w:rsidRPr="002D6B92" w:rsidRDefault="002E6E45" w:rsidP="002D6B92">
            <w:pPr>
              <w:jc w:val="right"/>
              <w:rPr>
                <w:b/>
              </w:rPr>
            </w:pPr>
            <w:r>
              <w:rPr>
                <w:b/>
              </w:rPr>
              <w:t>41,283</w:t>
            </w:r>
          </w:p>
        </w:tc>
      </w:tr>
    </w:tbl>
    <w:p w14:paraId="7520ACBE" w14:textId="77777777" w:rsidR="00AA1334" w:rsidRDefault="00AA1334" w:rsidP="009E7794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0DFE23B" w14:textId="5EA4941B" w:rsidR="008A255F" w:rsidRPr="00CD757C" w:rsidRDefault="008A255F" w:rsidP="00014467">
      <w:pPr>
        <w:tabs>
          <w:tab w:val="left" w:pos="2160"/>
        </w:tabs>
        <w:spacing w:after="200" w:line="276" w:lineRule="auto"/>
        <w:jc w:val="both"/>
        <w:rPr>
          <w:rFonts w:asciiTheme="majorBidi" w:hAnsiTheme="majorBidi" w:cstheme="majorBidi"/>
          <w:bCs/>
          <w:lang w:val="sq-AL"/>
        </w:rPr>
      </w:pPr>
      <w:r w:rsidRPr="00A017AC">
        <w:rPr>
          <w:rFonts w:asciiTheme="majorBidi" w:hAnsiTheme="majorBidi" w:cstheme="majorBidi"/>
          <w:bCs/>
          <w:lang w:val="sq-AL"/>
        </w:rPr>
        <w:t xml:space="preserve">Për të </w:t>
      </w:r>
      <w:r w:rsidR="00BB36B5">
        <w:rPr>
          <w:rFonts w:asciiTheme="majorBidi" w:hAnsiTheme="majorBidi" w:cstheme="majorBidi"/>
          <w:bCs/>
          <w:lang w:val="sq-AL"/>
        </w:rPr>
        <w:t>tre</w:t>
      </w:r>
      <w:r w:rsidRPr="00A017AC">
        <w:rPr>
          <w:rFonts w:asciiTheme="majorBidi" w:hAnsiTheme="majorBidi" w:cstheme="majorBidi"/>
          <w:bCs/>
          <w:lang w:val="sq-AL"/>
        </w:rPr>
        <w:t xml:space="preserve"> programet e këtij institucioni situata në lidhje me ndryshimet e buxhetit</w:t>
      </w:r>
      <w:r w:rsidR="003D327C">
        <w:rPr>
          <w:rFonts w:asciiTheme="majorBidi" w:hAnsiTheme="majorBidi" w:cstheme="majorBidi"/>
          <w:bCs/>
          <w:lang w:val="sq-AL"/>
        </w:rPr>
        <w:t xml:space="preserve"> p</w:t>
      </w:r>
      <w:r w:rsidR="00895DCE">
        <w:rPr>
          <w:rFonts w:asciiTheme="majorBidi" w:hAnsiTheme="majorBidi" w:cstheme="majorBidi"/>
          <w:bCs/>
          <w:lang w:val="sq-AL"/>
        </w:rPr>
        <w:t>ë</w:t>
      </w:r>
      <w:r w:rsidR="003D327C">
        <w:rPr>
          <w:rFonts w:asciiTheme="majorBidi" w:hAnsiTheme="majorBidi" w:cstheme="majorBidi"/>
          <w:bCs/>
          <w:lang w:val="sq-AL"/>
        </w:rPr>
        <w:t>rgjat</w:t>
      </w:r>
      <w:r w:rsidR="00895DCE">
        <w:rPr>
          <w:rFonts w:asciiTheme="majorBidi" w:hAnsiTheme="majorBidi" w:cstheme="majorBidi"/>
          <w:bCs/>
          <w:lang w:val="sq-AL"/>
        </w:rPr>
        <w:t>ë</w:t>
      </w:r>
      <w:r w:rsidR="003D327C">
        <w:rPr>
          <w:rFonts w:asciiTheme="majorBidi" w:hAnsiTheme="majorBidi" w:cstheme="majorBidi"/>
          <w:bCs/>
          <w:lang w:val="sq-AL"/>
        </w:rPr>
        <w:t xml:space="preserve"> </w:t>
      </w:r>
      <w:r w:rsidR="002E6E45">
        <w:rPr>
          <w:rFonts w:asciiTheme="majorBidi" w:hAnsiTheme="majorBidi" w:cstheme="majorBidi"/>
          <w:bCs/>
          <w:lang w:val="sq-AL"/>
        </w:rPr>
        <w:t>8 mujorit t</w:t>
      </w:r>
      <w:r w:rsidR="009C12CF">
        <w:rPr>
          <w:rFonts w:asciiTheme="majorBidi" w:hAnsiTheme="majorBidi" w:cstheme="majorBidi"/>
          <w:bCs/>
          <w:lang w:val="sq-AL"/>
        </w:rPr>
        <w:t>ë</w:t>
      </w:r>
      <w:r w:rsidR="002E6E45">
        <w:rPr>
          <w:rFonts w:asciiTheme="majorBidi" w:hAnsiTheme="majorBidi" w:cstheme="majorBidi"/>
          <w:bCs/>
          <w:lang w:val="sq-AL"/>
        </w:rPr>
        <w:t xml:space="preserve"> </w:t>
      </w:r>
      <w:r w:rsidR="00BB36B5">
        <w:rPr>
          <w:rFonts w:asciiTheme="majorBidi" w:hAnsiTheme="majorBidi" w:cstheme="majorBidi"/>
          <w:bCs/>
          <w:lang w:val="sq-AL"/>
        </w:rPr>
        <w:t>vitit</w:t>
      </w:r>
      <w:r w:rsidRPr="00A017AC">
        <w:rPr>
          <w:rFonts w:asciiTheme="majorBidi" w:hAnsiTheme="majorBidi" w:cstheme="majorBidi"/>
          <w:bCs/>
          <w:lang w:val="sq-AL"/>
        </w:rPr>
        <w:t xml:space="preserve"> 20</w:t>
      </w:r>
      <w:r w:rsidR="00BB36B5">
        <w:rPr>
          <w:rFonts w:asciiTheme="majorBidi" w:hAnsiTheme="majorBidi" w:cstheme="majorBidi"/>
          <w:bCs/>
          <w:lang w:val="sq-AL"/>
        </w:rPr>
        <w:t>2</w:t>
      </w:r>
      <w:r w:rsidR="002E6E45">
        <w:rPr>
          <w:rFonts w:asciiTheme="majorBidi" w:hAnsiTheme="majorBidi" w:cstheme="majorBidi"/>
          <w:bCs/>
          <w:lang w:val="sq-AL"/>
        </w:rPr>
        <w:t>4</w:t>
      </w:r>
      <w:r w:rsidRPr="00A017AC">
        <w:rPr>
          <w:rFonts w:asciiTheme="majorBidi" w:hAnsiTheme="majorBidi" w:cstheme="majorBidi"/>
          <w:bCs/>
          <w:lang w:val="sq-AL"/>
        </w:rPr>
        <w:t>, duke u nisur nga buxheti fillestar sipas ligjit</w:t>
      </w:r>
      <w:r w:rsidR="003D327C">
        <w:rPr>
          <w:rFonts w:asciiTheme="majorBidi" w:hAnsiTheme="majorBidi" w:cstheme="majorBidi"/>
          <w:bCs/>
          <w:lang w:val="sq-AL"/>
        </w:rPr>
        <w:t xml:space="preserve"> </w:t>
      </w:r>
      <w:r w:rsidR="00CA4CF1">
        <w:t>97</w:t>
      </w:r>
      <w:r w:rsidR="003D327C" w:rsidRPr="001C0DC7">
        <w:t>/202</w:t>
      </w:r>
      <w:r w:rsidR="00CA4CF1">
        <w:t>3</w:t>
      </w:r>
      <w:r w:rsidR="003D327C" w:rsidRPr="001C0DC7">
        <w:t>, “Për buxhetin e vitit 202</w:t>
      </w:r>
      <w:r w:rsidR="00CA4CF1">
        <w:t>4</w:t>
      </w:r>
      <w:r w:rsidR="003D327C" w:rsidRPr="001C0DC7">
        <w:t>”</w:t>
      </w:r>
      <w:r w:rsidRPr="00A017AC">
        <w:rPr>
          <w:rFonts w:asciiTheme="majorBidi" w:hAnsiTheme="majorBidi" w:cstheme="majorBidi"/>
          <w:lang w:val="sq-AL"/>
        </w:rPr>
        <w:t xml:space="preserve">, </w:t>
      </w:r>
      <w:r w:rsidRPr="00A017AC">
        <w:rPr>
          <w:rFonts w:asciiTheme="majorBidi" w:hAnsiTheme="majorBidi" w:cstheme="majorBidi"/>
          <w:bCs/>
          <w:lang w:val="sq-AL"/>
        </w:rPr>
        <w:t>ka ardhur si pasojë fondeve akorduara si fonde shtesë nga Fondi i veçantë</w:t>
      </w:r>
      <w:r w:rsidR="002E6E45">
        <w:rPr>
          <w:rFonts w:asciiTheme="majorBidi" w:hAnsiTheme="majorBidi" w:cstheme="majorBidi"/>
          <w:bCs/>
          <w:lang w:val="sq-AL"/>
        </w:rPr>
        <w:t>, n</w:t>
      </w:r>
      <w:r w:rsidR="009C12CF">
        <w:rPr>
          <w:rFonts w:asciiTheme="majorBidi" w:hAnsiTheme="majorBidi" w:cstheme="majorBidi"/>
          <w:bCs/>
          <w:lang w:val="sq-AL"/>
        </w:rPr>
        <w:t>ë</w:t>
      </w:r>
      <w:r w:rsidR="002E6E45">
        <w:rPr>
          <w:rFonts w:asciiTheme="majorBidi" w:hAnsiTheme="majorBidi" w:cstheme="majorBidi"/>
          <w:bCs/>
          <w:lang w:val="sq-AL"/>
        </w:rPr>
        <w:t xml:space="preserve"> zbatim t</w:t>
      </w:r>
      <w:r w:rsidR="009C12CF">
        <w:rPr>
          <w:rFonts w:asciiTheme="majorBidi" w:hAnsiTheme="majorBidi" w:cstheme="majorBidi"/>
          <w:bCs/>
          <w:lang w:val="sq-AL"/>
        </w:rPr>
        <w:t>ë</w:t>
      </w:r>
      <w:r w:rsidR="002E6E45">
        <w:rPr>
          <w:rFonts w:asciiTheme="majorBidi" w:hAnsiTheme="majorBidi" w:cstheme="majorBidi"/>
          <w:bCs/>
          <w:lang w:val="sq-AL"/>
        </w:rPr>
        <w:t xml:space="preserve"> VKM 421, dat</w:t>
      </w:r>
      <w:r w:rsidR="009C12CF">
        <w:rPr>
          <w:rFonts w:asciiTheme="majorBidi" w:hAnsiTheme="majorBidi" w:cstheme="majorBidi"/>
          <w:bCs/>
          <w:lang w:val="sq-AL"/>
        </w:rPr>
        <w:t>ë</w:t>
      </w:r>
      <w:r w:rsidR="00BA6778">
        <w:rPr>
          <w:rFonts w:asciiTheme="majorBidi" w:hAnsiTheme="majorBidi" w:cstheme="majorBidi"/>
          <w:bCs/>
          <w:lang w:val="sq-AL"/>
        </w:rPr>
        <w:t xml:space="preserve"> 26.06.2024 </w:t>
      </w:r>
      <w:r w:rsidR="00BA6778" w:rsidRPr="00BA6778">
        <w:rPr>
          <w:rFonts w:asciiTheme="majorBidi" w:hAnsiTheme="majorBidi" w:cstheme="majorBidi"/>
          <w:bCs/>
          <w:lang w:val="sq-AL"/>
        </w:rPr>
        <w:t>“Për disa shtesa dhe ndryshime në vendimin nr. 325, datë 31.05.2023, të Këshillit të Ministrave, “Për miratimin e strukturës së pagave, niveleve të pagave dhe shtesave të tjera mbi pagë të zëvendësministrit, funksionarëve të kabineteve, prefektit, nënprefektit, nëpunësve civilë dhe nëpunësve në disa institucione të admin</w:t>
      </w:r>
      <w:r w:rsidR="00BA6778">
        <w:rPr>
          <w:rFonts w:asciiTheme="majorBidi" w:hAnsiTheme="majorBidi" w:cstheme="majorBidi"/>
          <w:bCs/>
          <w:lang w:val="sq-AL"/>
        </w:rPr>
        <w:t>istratës publike”, të ndryshuar.</w:t>
      </w:r>
      <w:bookmarkStart w:id="0" w:name="_GoBack"/>
      <w:bookmarkEnd w:id="0"/>
    </w:p>
    <w:p w14:paraId="530E438E" w14:textId="77777777" w:rsidR="008A255F" w:rsidRPr="00D919EE" w:rsidRDefault="008A255F" w:rsidP="008A255F">
      <w:p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/>
          <w:lang w:val="sq-AL"/>
        </w:rPr>
      </w:pPr>
    </w:p>
    <w:p w14:paraId="65427CD8" w14:textId="77777777" w:rsidR="008A255F" w:rsidRPr="00D919EE" w:rsidRDefault="008A255F" w:rsidP="00CB656D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rFonts w:asciiTheme="majorBidi" w:hAnsiTheme="majorBidi" w:cstheme="majorBidi"/>
          <w:b/>
          <w:lang w:val="sq-AL"/>
        </w:rPr>
      </w:pPr>
      <w:r w:rsidRPr="00D919EE">
        <w:rPr>
          <w:rFonts w:asciiTheme="majorBidi" w:hAnsiTheme="majorBidi" w:cstheme="majorBidi"/>
          <w:b/>
          <w:lang w:val="sq-AL"/>
        </w:rPr>
        <w:t xml:space="preserve">Komente dhe rekomandime </w:t>
      </w:r>
    </w:p>
    <w:p w14:paraId="63D99C10" w14:textId="77777777" w:rsidR="00292901" w:rsidRPr="00292901" w:rsidRDefault="00292901" w:rsidP="00292901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left="540" w:hanging="18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292901">
        <w:rPr>
          <w:rFonts w:asciiTheme="majorBidi" w:hAnsiTheme="majorBidi" w:cstheme="majorBidi"/>
          <w:bCs/>
          <w:sz w:val="24"/>
          <w:szCs w:val="24"/>
          <w:lang w:val="sq-AL"/>
        </w:rPr>
        <w:t>Vlerësojmë që përmbajtja e anekseve është paraqitur sipas formateve të përcaktuara në Udhëzimin nr. nr. 14, datë 30.05.2023 “Për procedurat standarde të monitorimit të buxhetit në njësitë e Qeverisjes Qendrore”.</w:t>
      </w:r>
    </w:p>
    <w:p w14:paraId="0D3E1D76" w14:textId="77777777" w:rsidR="00895DCE" w:rsidRPr="00895DCE" w:rsidRDefault="00895DCE" w:rsidP="00895DCE">
      <w:pPr>
        <w:pStyle w:val="ListParagraph"/>
        <w:rPr>
          <w:rFonts w:asciiTheme="majorBidi" w:hAnsiTheme="majorBidi" w:cstheme="majorBidi"/>
          <w:bCs/>
          <w:lang w:val="sq-AL"/>
        </w:rPr>
      </w:pPr>
    </w:p>
    <w:p w14:paraId="7ED6120F" w14:textId="77777777" w:rsidR="00292901" w:rsidRDefault="00292901" w:rsidP="00612663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left="540" w:hanging="180"/>
        <w:jc w:val="both"/>
        <w:rPr>
          <w:sz w:val="24"/>
          <w:szCs w:val="24"/>
          <w:lang w:val="sq-AL"/>
        </w:rPr>
      </w:pPr>
      <w:r w:rsidRPr="00AF4F1D">
        <w:rPr>
          <w:sz w:val="24"/>
          <w:szCs w:val="24"/>
          <w:lang w:val="sq-AL"/>
        </w:rPr>
        <w:t>Raporti i monitorimit është paraqitur në Ministrinë e Financave dhe Ekonomisë brenda afatit të përcaktuar.</w:t>
      </w:r>
    </w:p>
    <w:p w14:paraId="5B92A400" w14:textId="77777777" w:rsidR="004E061B" w:rsidRPr="004E061B" w:rsidRDefault="004E061B" w:rsidP="004E061B">
      <w:pPr>
        <w:pStyle w:val="ListParagraph"/>
        <w:rPr>
          <w:rFonts w:asciiTheme="majorBidi" w:hAnsiTheme="majorBidi" w:cstheme="majorBidi"/>
          <w:bCs/>
          <w:lang w:val="sq-AL"/>
        </w:rPr>
      </w:pPr>
    </w:p>
    <w:p w14:paraId="23AA8BD0" w14:textId="77777777" w:rsidR="00CC11F0" w:rsidRPr="00612663" w:rsidRDefault="00CC11F0" w:rsidP="00612663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left="540" w:hanging="180"/>
        <w:jc w:val="both"/>
        <w:rPr>
          <w:sz w:val="24"/>
          <w:szCs w:val="24"/>
          <w:lang w:val="sq-AL"/>
        </w:rPr>
      </w:pPr>
      <w:r w:rsidRPr="00612663">
        <w:rPr>
          <w:sz w:val="24"/>
          <w:szCs w:val="24"/>
          <w:lang w:val="sq-AL"/>
        </w:rPr>
        <w:t>Lidhur me përdorimin e informacionit të siguruar nga sistemi AFMIS vihet re se:</w:t>
      </w:r>
    </w:p>
    <w:p w14:paraId="3F1B52C1" w14:textId="05D99ECC" w:rsidR="001E5036" w:rsidRPr="001E5036" w:rsidRDefault="00CC11F0" w:rsidP="001E5036">
      <w:pPr>
        <w:numPr>
          <w:ilvl w:val="1"/>
          <w:numId w:val="11"/>
        </w:numPr>
        <w:spacing w:before="240"/>
        <w:ind w:left="1260"/>
        <w:jc w:val="both"/>
        <w:rPr>
          <w:bCs/>
          <w:lang w:val="sq-AL"/>
        </w:rPr>
      </w:pPr>
      <w:r>
        <w:rPr>
          <w:bCs/>
          <w:lang w:val="sq-AL"/>
        </w:rPr>
        <w:t>Sasia e produkteve në raportin 16, të m</w:t>
      </w:r>
      <w:r w:rsidR="00EE0338">
        <w:rPr>
          <w:bCs/>
          <w:lang w:val="sq-AL"/>
        </w:rPr>
        <w:t xml:space="preserve">odulit BPPM, në sistemin AFMIS </w:t>
      </w:r>
      <w:r>
        <w:rPr>
          <w:bCs/>
          <w:lang w:val="sq-AL"/>
        </w:rPr>
        <w:t>është plotësuar.</w:t>
      </w:r>
    </w:p>
    <w:p w14:paraId="0EBFB134" w14:textId="77777777" w:rsidR="00612663" w:rsidRDefault="00612663" w:rsidP="001E5036">
      <w:pPr>
        <w:shd w:val="clear" w:color="auto" w:fill="FFFFFF"/>
        <w:spacing w:line="330" w:lineRule="atLeast"/>
        <w:ind w:left="360"/>
        <w:jc w:val="both"/>
        <w:rPr>
          <w:color w:val="242424"/>
          <w:bdr w:val="none" w:sz="0" w:space="0" w:color="auto" w:frame="1"/>
          <w:lang w:val="sq-AL" w:eastAsia="sq-AL"/>
        </w:rPr>
      </w:pPr>
    </w:p>
    <w:p w14:paraId="6EC79093" w14:textId="77777777" w:rsidR="00612663" w:rsidRDefault="001E5036" w:rsidP="00612663">
      <w:pPr>
        <w:pStyle w:val="ListParagraph"/>
        <w:numPr>
          <w:ilvl w:val="0"/>
          <w:numId w:val="3"/>
        </w:numPr>
        <w:tabs>
          <w:tab w:val="left" w:pos="2160"/>
        </w:tabs>
        <w:spacing w:line="276" w:lineRule="auto"/>
        <w:ind w:left="540" w:hanging="180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 w:rsidRPr="00612663">
        <w:rPr>
          <w:rFonts w:asciiTheme="majorBidi" w:hAnsiTheme="majorBidi" w:cstheme="majorBidi"/>
          <w:bCs/>
          <w:sz w:val="24"/>
          <w:szCs w:val="24"/>
          <w:lang w:val="sq-AL"/>
        </w:rPr>
        <w:lastRenderedPageBreak/>
        <w:t xml:space="preserve">Lidhur me përmirësimin e cilësisë së përmbajtjes së raportit </w:t>
      </w:r>
      <w:r w:rsidR="00612663" w:rsidRPr="00612663">
        <w:rPr>
          <w:rFonts w:asciiTheme="majorBidi" w:hAnsiTheme="majorBidi" w:cstheme="majorBidi"/>
          <w:bCs/>
          <w:sz w:val="24"/>
          <w:szCs w:val="24"/>
          <w:lang w:val="sq-AL"/>
        </w:rPr>
        <w:t>për treguesit e performancës në nivel qëllimi dhe objektivi të shfaqura në aneksin 4 “Raporti i realizimit të treguesve të performancës së programit”,</w:t>
      </w:r>
      <w:r w:rsidRPr="00612663">
        <w:rPr>
          <w:rFonts w:asciiTheme="majorBidi" w:hAnsiTheme="majorBidi" w:cstheme="majorBidi"/>
          <w:bCs/>
          <w:sz w:val="24"/>
          <w:szCs w:val="24"/>
          <w:lang w:val="sq-AL"/>
        </w:rPr>
        <w:t>të monitorimit rekomandojmë:</w:t>
      </w:r>
    </w:p>
    <w:p w14:paraId="0671FAA5" w14:textId="187CA325" w:rsidR="001E5036" w:rsidRPr="00612663" w:rsidRDefault="00612663" w:rsidP="00612663">
      <w:pPr>
        <w:pStyle w:val="ListParagraph"/>
        <w:numPr>
          <w:ilvl w:val="1"/>
          <w:numId w:val="3"/>
        </w:numPr>
        <w:tabs>
          <w:tab w:val="left" w:pos="2160"/>
        </w:tabs>
        <w:spacing w:line="276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  <w:r>
        <w:rPr>
          <w:color w:val="242424"/>
          <w:sz w:val="24"/>
          <w:szCs w:val="24"/>
          <w:bdr w:val="none" w:sz="0" w:space="0" w:color="auto" w:frame="1"/>
          <w:lang w:val="sq-AL" w:eastAsia="sq-AL"/>
        </w:rPr>
        <w:t>P</w:t>
      </w:r>
      <w:r w:rsidR="001E5036" w:rsidRPr="00612663">
        <w:rPr>
          <w:color w:val="242424"/>
          <w:sz w:val="24"/>
          <w:szCs w:val="24"/>
          <w:bdr w:val="none" w:sz="0" w:space="0" w:color="auto" w:frame="1"/>
          <w:lang w:val="sq-AL" w:eastAsia="sq-AL"/>
        </w:rPr>
        <w:t>ërcaktimin e njësisë matëse në kolonën përkatëse, si edhe të plotësohet kolona e treguesve faktikë me vlerën që është realizuar faktikisht për periudhën nëse janë të matshme për periudhën.</w:t>
      </w:r>
    </w:p>
    <w:p w14:paraId="7A59FFD2" w14:textId="77777777" w:rsidR="00CB656D" w:rsidRPr="00CB656D" w:rsidRDefault="00CB656D" w:rsidP="00CB656D">
      <w:pPr>
        <w:tabs>
          <w:tab w:val="left" w:pos="2160"/>
        </w:tabs>
        <w:spacing w:before="24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69B813B2" w14:textId="77777777" w:rsidR="00CB656D" w:rsidRPr="00084DE9" w:rsidRDefault="00CB656D" w:rsidP="00CB656D">
      <w:pPr>
        <w:numPr>
          <w:ilvl w:val="0"/>
          <w:numId w:val="2"/>
        </w:numPr>
        <w:tabs>
          <w:tab w:val="left" w:pos="1440"/>
        </w:tabs>
        <w:spacing w:after="200" w:line="276" w:lineRule="auto"/>
        <w:ind w:left="0" w:firstLine="720"/>
        <w:jc w:val="both"/>
        <w:rPr>
          <w:b/>
          <w:sz w:val="28"/>
          <w:szCs w:val="28"/>
          <w:lang w:val="sq-AL"/>
        </w:rPr>
      </w:pPr>
      <w:r w:rsidRPr="00084DE9">
        <w:rPr>
          <w:b/>
          <w:sz w:val="28"/>
          <w:szCs w:val="28"/>
          <w:lang w:val="sq-AL"/>
        </w:rPr>
        <w:t xml:space="preserve">Publikimi </w:t>
      </w:r>
    </w:p>
    <w:p w14:paraId="55D88FF8" w14:textId="16984BDD" w:rsidR="00CB656D" w:rsidRDefault="00CB656D" w:rsidP="00CB656D">
      <w:pPr>
        <w:jc w:val="both"/>
        <w:rPr>
          <w:lang w:val="sq-AL"/>
        </w:rPr>
      </w:pPr>
      <w:r w:rsidRPr="009E2602">
        <w:rPr>
          <w:lang w:val="sq-AL"/>
        </w:rPr>
        <w:t xml:space="preserve">Raporti i Monitorimit </w:t>
      </w:r>
      <w:r w:rsidR="007D1FD0">
        <w:rPr>
          <w:lang w:val="sq-AL"/>
        </w:rPr>
        <w:t>për</w:t>
      </w:r>
      <w:r w:rsidR="007D1FD0" w:rsidRPr="00895DCE">
        <w:rPr>
          <w:lang w:val="sq-AL"/>
        </w:rPr>
        <w:t xml:space="preserve"> </w:t>
      </w:r>
      <w:r w:rsidR="00B1561D">
        <w:rPr>
          <w:lang w:val="sq-AL"/>
        </w:rPr>
        <w:t>8</w:t>
      </w:r>
      <w:r w:rsidR="007D1FD0">
        <w:rPr>
          <w:lang w:val="sq-AL"/>
        </w:rPr>
        <w:t xml:space="preserve"> mujorin e </w:t>
      </w:r>
      <w:r w:rsidR="007D1FD0" w:rsidRPr="00895DCE">
        <w:rPr>
          <w:lang w:val="sq-AL"/>
        </w:rPr>
        <w:t>viti</w:t>
      </w:r>
      <w:r w:rsidR="007D1FD0">
        <w:rPr>
          <w:lang w:val="sq-AL"/>
        </w:rPr>
        <w:t>t</w:t>
      </w:r>
      <w:r w:rsidR="007D1FD0" w:rsidRPr="00895DCE">
        <w:rPr>
          <w:lang w:val="sq-AL"/>
        </w:rPr>
        <w:t xml:space="preserve"> 202</w:t>
      </w:r>
      <w:r w:rsidR="007D1FD0">
        <w:rPr>
          <w:lang w:val="sq-AL"/>
        </w:rPr>
        <w:t>4</w:t>
      </w:r>
      <w:r w:rsidRPr="009E2602">
        <w:rPr>
          <w:lang w:val="sq-AL"/>
        </w:rPr>
        <w:t xml:space="preserve">, është publikuar në faqen zyrtare të </w:t>
      </w:r>
      <w:r>
        <w:rPr>
          <w:lang w:val="sq-AL"/>
        </w:rPr>
        <w:t>Këshillit të Lartë Gjyqësor.</w:t>
      </w:r>
      <w:r w:rsidR="007D1FD0">
        <w:rPr>
          <w:lang w:val="sq-AL"/>
        </w:rPr>
        <w:t xml:space="preserve"> </w:t>
      </w:r>
    </w:p>
    <w:p w14:paraId="7018040B" w14:textId="77777777" w:rsidR="00CB656D" w:rsidRDefault="00CB656D" w:rsidP="00CB656D">
      <w:pPr>
        <w:jc w:val="both"/>
        <w:rPr>
          <w:lang w:val="sq-AL"/>
        </w:rPr>
      </w:pPr>
    </w:p>
    <w:p w14:paraId="646009DD" w14:textId="77777777" w:rsidR="00CB656D" w:rsidRDefault="00CB656D" w:rsidP="00CB656D">
      <w:pPr>
        <w:jc w:val="both"/>
      </w:pPr>
      <w:r>
        <w:rPr>
          <w:lang w:val="sq-AL"/>
        </w:rPr>
        <w:t xml:space="preserve">Linku: </w:t>
      </w:r>
      <w:hyperlink r:id="rId6" w:history="1">
        <w:r w:rsidR="00354E1F" w:rsidRPr="00050015">
          <w:rPr>
            <w:rStyle w:val="Hyperlink"/>
          </w:rPr>
          <w:t>https://klgj.al/publikime/</w:t>
        </w:r>
      </w:hyperlink>
    </w:p>
    <w:p w14:paraId="53674477" w14:textId="77777777" w:rsidR="00354E1F" w:rsidRDefault="00354E1F" w:rsidP="00CB656D">
      <w:pPr>
        <w:jc w:val="both"/>
      </w:pPr>
    </w:p>
    <w:p w14:paraId="3BBA79A0" w14:textId="77777777" w:rsidR="00354E1F" w:rsidRDefault="00354E1F" w:rsidP="00CB656D">
      <w:pPr>
        <w:jc w:val="both"/>
      </w:pPr>
    </w:p>
    <w:p w14:paraId="7BD8B448" w14:textId="77777777" w:rsidR="00B261B8" w:rsidRPr="00CB656D" w:rsidRDefault="00B261B8" w:rsidP="00CB656D">
      <w:pPr>
        <w:jc w:val="both"/>
        <w:rPr>
          <w:lang w:val="sq-AL"/>
        </w:rPr>
      </w:pPr>
    </w:p>
    <w:p w14:paraId="43892119" w14:textId="77777777" w:rsidR="00CB656D" w:rsidRPr="000E5D47" w:rsidRDefault="00CB656D" w:rsidP="00CB656D">
      <w:pPr>
        <w:tabs>
          <w:tab w:val="left" w:pos="2160"/>
        </w:tabs>
        <w:spacing w:before="240" w:line="276" w:lineRule="auto"/>
        <w:jc w:val="both"/>
        <w:rPr>
          <w:rFonts w:asciiTheme="majorBidi" w:hAnsiTheme="majorBidi" w:cstheme="majorBidi"/>
          <w:bCs/>
          <w:lang w:val="sq-AL"/>
        </w:rPr>
      </w:pPr>
    </w:p>
    <w:p w14:paraId="7EC78821" w14:textId="77777777" w:rsidR="00FA5540" w:rsidRPr="000E5D47" w:rsidRDefault="00FA5540">
      <w:pPr>
        <w:tabs>
          <w:tab w:val="left" w:pos="2160"/>
        </w:tabs>
        <w:spacing w:before="240" w:line="276" w:lineRule="auto"/>
        <w:jc w:val="both"/>
        <w:rPr>
          <w:rFonts w:asciiTheme="majorBidi" w:hAnsiTheme="majorBidi" w:cstheme="majorBidi"/>
          <w:bCs/>
          <w:lang w:val="sq-AL"/>
        </w:rPr>
      </w:pPr>
    </w:p>
    <w:sectPr w:rsidR="00FA5540" w:rsidRPr="000E5D47" w:rsidSect="0037703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5C2"/>
    <w:multiLevelType w:val="hybridMultilevel"/>
    <w:tmpl w:val="97948EA2"/>
    <w:lvl w:ilvl="0" w:tplc="58F4E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0A6C"/>
    <w:multiLevelType w:val="hybridMultilevel"/>
    <w:tmpl w:val="1694721C"/>
    <w:lvl w:ilvl="0" w:tplc="8952B2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74E3"/>
    <w:multiLevelType w:val="hybridMultilevel"/>
    <w:tmpl w:val="36B637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04000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Theme="majorBidi" w:hAnsiTheme="majorBidi" w:cstheme="majorBidi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807B0"/>
    <w:multiLevelType w:val="hybridMultilevel"/>
    <w:tmpl w:val="A23A1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6156EF9"/>
    <w:multiLevelType w:val="hybridMultilevel"/>
    <w:tmpl w:val="ECF291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7891"/>
    <w:multiLevelType w:val="hybridMultilevel"/>
    <w:tmpl w:val="2A545C48"/>
    <w:lvl w:ilvl="0" w:tplc="169CBA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7532"/>
    <w:multiLevelType w:val="multilevel"/>
    <w:tmpl w:val="84E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A57A51"/>
    <w:multiLevelType w:val="hybridMultilevel"/>
    <w:tmpl w:val="BDEC7610"/>
    <w:lvl w:ilvl="0" w:tplc="169CBAF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890" w:hanging="360"/>
      </w:pPr>
    </w:lvl>
    <w:lvl w:ilvl="2" w:tplc="041C001B" w:tentative="1">
      <w:start w:val="1"/>
      <w:numFmt w:val="lowerRoman"/>
      <w:lvlText w:val="%3."/>
      <w:lvlJc w:val="right"/>
      <w:pPr>
        <w:ind w:left="2610" w:hanging="180"/>
      </w:pPr>
    </w:lvl>
    <w:lvl w:ilvl="3" w:tplc="041C000F" w:tentative="1">
      <w:start w:val="1"/>
      <w:numFmt w:val="decimal"/>
      <w:lvlText w:val="%4."/>
      <w:lvlJc w:val="left"/>
      <w:pPr>
        <w:ind w:left="3330" w:hanging="360"/>
      </w:pPr>
    </w:lvl>
    <w:lvl w:ilvl="4" w:tplc="041C0019" w:tentative="1">
      <w:start w:val="1"/>
      <w:numFmt w:val="lowerLetter"/>
      <w:lvlText w:val="%5."/>
      <w:lvlJc w:val="left"/>
      <w:pPr>
        <w:ind w:left="4050" w:hanging="360"/>
      </w:pPr>
    </w:lvl>
    <w:lvl w:ilvl="5" w:tplc="041C001B" w:tentative="1">
      <w:start w:val="1"/>
      <w:numFmt w:val="lowerRoman"/>
      <w:lvlText w:val="%6."/>
      <w:lvlJc w:val="right"/>
      <w:pPr>
        <w:ind w:left="4770" w:hanging="180"/>
      </w:pPr>
    </w:lvl>
    <w:lvl w:ilvl="6" w:tplc="041C000F" w:tentative="1">
      <w:start w:val="1"/>
      <w:numFmt w:val="decimal"/>
      <w:lvlText w:val="%7."/>
      <w:lvlJc w:val="left"/>
      <w:pPr>
        <w:ind w:left="5490" w:hanging="360"/>
      </w:pPr>
    </w:lvl>
    <w:lvl w:ilvl="7" w:tplc="041C0019" w:tentative="1">
      <w:start w:val="1"/>
      <w:numFmt w:val="lowerLetter"/>
      <w:lvlText w:val="%8."/>
      <w:lvlJc w:val="left"/>
      <w:pPr>
        <w:ind w:left="6210" w:hanging="360"/>
      </w:pPr>
    </w:lvl>
    <w:lvl w:ilvl="8" w:tplc="041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57D4374B"/>
    <w:multiLevelType w:val="hybridMultilevel"/>
    <w:tmpl w:val="ECA4D4B0"/>
    <w:lvl w:ilvl="0" w:tplc="C87CCA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B8841C4"/>
    <w:multiLevelType w:val="hybridMultilevel"/>
    <w:tmpl w:val="F490F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6C01B7C"/>
    <w:multiLevelType w:val="hybridMultilevel"/>
    <w:tmpl w:val="3FFE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21FF7"/>
    <w:multiLevelType w:val="hybridMultilevel"/>
    <w:tmpl w:val="0E1492A2"/>
    <w:lvl w:ilvl="0" w:tplc="F12CB6B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476746"/>
    <w:multiLevelType w:val="hybridMultilevel"/>
    <w:tmpl w:val="92463010"/>
    <w:lvl w:ilvl="0" w:tplc="5D888B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6D"/>
    <w:rsid w:val="00012B6D"/>
    <w:rsid w:val="00014467"/>
    <w:rsid w:val="0005097A"/>
    <w:rsid w:val="00066039"/>
    <w:rsid w:val="00067E01"/>
    <w:rsid w:val="0007025E"/>
    <w:rsid w:val="000A0015"/>
    <w:rsid w:val="000A3AB7"/>
    <w:rsid w:val="000A3EB5"/>
    <w:rsid w:val="000D4067"/>
    <w:rsid w:val="000D5342"/>
    <w:rsid w:val="000E5D47"/>
    <w:rsid w:val="001431E7"/>
    <w:rsid w:val="00153243"/>
    <w:rsid w:val="00156932"/>
    <w:rsid w:val="00157F93"/>
    <w:rsid w:val="00180C69"/>
    <w:rsid w:val="001C7B6F"/>
    <w:rsid w:val="001E5036"/>
    <w:rsid w:val="001F02FA"/>
    <w:rsid w:val="002149E5"/>
    <w:rsid w:val="00215AB0"/>
    <w:rsid w:val="002242B4"/>
    <w:rsid w:val="00255238"/>
    <w:rsid w:val="00292901"/>
    <w:rsid w:val="00292956"/>
    <w:rsid w:val="00297037"/>
    <w:rsid w:val="002978C9"/>
    <w:rsid w:val="002D3351"/>
    <w:rsid w:val="002D6B92"/>
    <w:rsid w:val="002E6E45"/>
    <w:rsid w:val="0031220D"/>
    <w:rsid w:val="003202D4"/>
    <w:rsid w:val="00323755"/>
    <w:rsid w:val="00354E1F"/>
    <w:rsid w:val="00360579"/>
    <w:rsid w:val="00387601"/>
    <w:rsid w:val="003D327C"/>
    <w:rsid w:val="003E6479"/>
    <w:rsid w:val="004015A1"/>
    <w:rsid w:val="004270EF"/>
    <w:rsid w:val="00430525"/>
    <w:rsid w:val="004306B2"/>
    <w:rsid w:val="00447473"/>
    <w:rsid w:val="0046701E"/>
    <w:rsid w:val="0047599C"/>
    <w:rsid w:val="00484B2C"/>
    <w:rsid w:val="00490F07"/>
    <w:rsid w:val="004A2B7A"/>
    <w:rsid w:val="004A72D8"/>
    <w:rsid w:val="004D2601"/>
    <w:rsid w:val="004E061B"/>
    <w:rsid w:val="00510FE6"/>
    <w:rsid w:val="00524991"/>
    <w:rsid w:val="00524BEF"/>
    <w:rsid w:val="00545997"/>
    <w:rsid w:val="00550ADB"/>
    <w:rsid w:val="00555E91"/>
    <w:rsid w:val="00567449"/>
    <w:rsid w:val="005742B3"/>
    <w:rsid w:val="005809B0"/>
    <w:rsid w:val="00597C3C"/>
    <w:rsid w:val="005A2C02"/>
    <w:rsid w:val="005B3348"/>
    <w:rsid w:val="005B3C2C"/>
    <w:rsid w:val="005C6E03"/>
    <w:rsid w:val="005E78F0"/>
    <w:rsid w:val="00612663"/>
    <w:rsid w:val="00616243"/>
    <w:rsid w:val="00656910"/>
    <w:rsid w:val="006757E2"/>
    <w:rsid w:val="00684914"/>
    <w:rsid w:val="00695E1F"/>
    <w:rsid w:val="006A2184"/>
    <w:rsid w:val="006E4B97"/>
    <w:rsid w:val="0072547A"/>
    <w:rsid w:val="00727F51"/>
    <w:rsid w:val="007571C0"/>
    <w:rsid w:val="00762CD6"/>
    <w:rsid w:val="00763AB3"/>
    <w:rsid w:val="007B7FDB"/>
    <w:rsid w:val="007D1FD0"/>
    <w:rsid w:val="007E10E5"/>
    <w:rsid w:val="00806F45"/>
    <w:rsid w:val="00815519"/>
    <w:rsid w:val="0082635F"/>
    <w:rsid w:val="0083112C"/>
    <w:rsid w:val="008462C9"/>
    <w:rsid w:val="00881E48"/>
    <w:rsid w:val="008927CE"/>
    <w:rsid w:val="00893A1F"/>
    <w:rsid w:val="00895DCE"/>
    <w:rsid w:val="008A255F"/>
    <w:rsid w:val="008A6D15"/>
    <w:rsid w:val="008D67F1"/>
    <w:rsid w:val="008E068E"/>
    <w:rsid w:val="008E6E04"/>
    <w:rsid w:val="008F1260"/>
    <w:rsid w:val="008F6E81"/>
    <w:rsid w:val="009171F6"/>
    <w:rsid w:val="009413E9"/>
    <w:rsid w:val="0097569D"/>
    <w:rsid w:val="00990612"/>
    <w:rsid w:val="00990978"/>
    <w:rsid w:val="009915F6"/>
    <w:rsid w:val="009941B1"/>
    <w:rsid w:val="009A6102"/>
    <w:rsid w:val="009B16B1"/>
    <w:rsid w:val="009B72B7"/>
    <w:rsid w:val="009C12CF"/>
    <w:rsid w:val="009C7C6E"/>
    <w:rsid w:val="009E7794"/>
    <w:rsid w:val="00A30EBD"/>
    <w:rsid w:val="00A317BF"/>
    <w:rsid w:val="00A5155C"/>
    <w:rsid w:val="00A81F9C"/>
    <w:rsid w:val="00A86849"/>
    <w:rsid w:val="00A87333"/>
    <w:rsid w:val="00AA1334"/>
    <w:rsid w:val="00AB15AC"/>
    <w:rsid w:val="00AB298E"/>
    <w:rsid w:val="00AC0D4A"/>
    <w:rsid w:val="00AC3A20"/>
    <w:rsid w:val="00AD5A66"/>
    <w:rsid w:val="00B1561D"/>
    <w:rsid w:val="00B16680"/>
    <w:rsid w:val="00B23ABD"/>
    <w:rsid w:val="00B261B8"/>
    <w:rsid w:val="00B320A1"/>
    <w:rsid w:val="00B43F53"/>
    <w:rsid w:val="00B460A4"/>
    <w:rsid w:val="00B50A4B"/>
    <w:rsid w:val="00BA6778"/>
    <w:rsid w:val="00BA6F4B"/>
    <w:rsid w:val="00BB0A79"/>
    <w:rsid w:val="00BB2CFD"/>
    <w:rsid w:val="00BB36B5"/>
    <w:rsid w:val="00BC174C"/>
    <w:rsid w:val="00BC7275"/>
    <w:rsid w:val="00BE6B56"/>
    <w:rsid w:val="00C57BE5"/>
    <w:rsid w:val="00C7217D"/>
    <w:rsid w:val="00C82CCC"/>
    <w:rsid w:val="00C86686"/>
    <w:rsid w:val="00C94FBC"/>
    <w:rsid w:val="00CA4CF1"/>
    <w:rsid w:val="00CB656D"/>
    <w:rsid w:val="00CC11F0"/>
    <w:rsid w:val="00CD757C"/>
    <w:rsid w:val="00D27EFA"/>
    <w:rsid w:val="00D36352"/>
    <w:rsid w:val="00D4344C"/>
    <w:rsid w:val="00D547A5"/>
    <w:rsid w:val="00D5785C"/>
    <w:rsid w:val="00D91643"/>
    <w:rsid w:val="00D919EE"/>
    <w:rsid w:val="00D92EDB"/>
    <w:rsid w:val="00DA1E87"/>
    <w:rsid w:val="00DA7D00"/>
    <w:rsid w:val="00DD15A4"/>
    <w:rsid w:val="00DD2BCD"/>
    <w:rsid w:val="00E0324C"/>
    <w:rsid w:val="00E23B6F"/>
    <w:rsid w:val="00E406C4"/>
    <w:rsid w:val="00E44D82"/>
    <w:rsid w:val="00E7057B"/>
    <w:rsid w:val="00E75031"/>
    <w:rsid w:val="00E8660D"/>
    <w:rsid w:val="00E947AF"/>
    <w:rsid w:val="00ED2858"/>
    <w:rsid w:val="00EE0338"/>
    <w:rsid w:val="00EE1716"/>
    <w:rsid w:val="00F041A4"/>
    <w:rsid w:val="00F14D48"/>
    <w:rsid w:val="00F20697"/>
    <w:rsid w:val="00F40FE1"/>
    <w:rsid w:val="00F53435"/>
    <w:rsid w:val="00F57A3A"/>
    <w:rsid w:val="00F60603"/>
    <w:rsid w:val="00F64793"/>
    <w:rsid w:val="00F77402"/>
    <w:rsid w:val="00F9461A"/>
    <w:rsid w:val="00FA5540"/>
    <w:rsid w:val="00FB0B4D"/>
    <w:rsid w:val="00FB35B8"/>
    <w:rsid w:val="00FB6FD1"/>
    <w:rsid w:val="00FD7207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1"/>
    <w:qFormat/>
    <w:rsid w:val="008A255F"/>
    <w:pPr>
      <w:spacing w:after="60"/>
      <w:jc w:val="center"/>
      <w:outlineLvl w:val="1"/>
    </w:pPr>
    <w:rPr>
      <w:rFonts w:ascii="Arial" w:eastAsia="SimSun" w:hAnsi="Arial" w:cs="Arial"/>
      <w:lang w:val="en-GB" w:eastAsia="zh-CN"/>
    </w:rPr>
  </w:style>
  <w:style w:type="character" w:customStyle="1" w:styleId="SubtitleChar">
    <w:name w:val="Subtitle Char"/>
    <w:basedOn w:val="DefaultParagraphFont"/>
    <w:uiPriority w:val="11"/>
    <w:rsid w:val="008A2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8A255F"/>
    <w:rPr>
      <w:rFonts w:ascii="Arial" w:eastAsia="SimSun" w:hAnsi="Arial" w:cs="Arial"/>
      <w:sz w:val="24"/>
      <w:szCs w:val="24"/>
      <w:lang w:val="en-GB" w:eastAsia="zh-CN"/>
    </w:rPr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8A255F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8A255F"/>
    <w:rPr>
      <w:rFonts w:ascii="Times New Roman" w:eastAsia="MS Mincho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0D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B65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F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1"/>
    <w:qFormat/>
    <w:rsid w:val="008A255F"/>
    <w:pPr>
      <w:spacing w:after="60"/>
      <w:jc w:val="center"/>
      <w:outlineLvl w:val="1"/>
    </w:pPr>
    <w:rPr>
      <w:rFonts w:ascii="Arial" w:eastAsia="SimSun" w:hAnsi="Arial" w:cs="Arial"/>
      <w:lang w:val="en-GB" w:eastAsia="zh-CN"/>
    </w:rPr>
  </w:style>
  <w:style w:type="character" w:customStyle="1" w:styleId="SubtitleChar">
    <w:name w:val="Subtitle Char"/>
    <w:basedOn w:val="DefaultParagraphFont"/>
    <w:uiPriority w:val="11"/>
    <w:rsid w:val="008A2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8A255F"/>
    <w:rPr>
      <w:rFonts w:ascii="Arial" w:eastAsia="SimSun" w:hAnsi="Arial" w:cs="Arial"/>
      <w:sz w:val="24"/>
      <w:szCs w:val="24"/>
      <w:lang w:val="en-GB" w:eastAsia="zh-CN"/>
    </w:rPr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8A255F"/>
    <w:pPr>
      <w:ind w:left="720"/>
      <w:contextualSpacing/>
    </w:pPr>
    <w:rPr>
      <w:rFonts w:eastAsia="MS Mincho"/>
      <w:sz w:val="20"/>
      <w:szCs w:val="20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locked/>
    <w:rsid w:val="008A255F"/>
    <w:rPr>
      <w:rFonts w:ascii="Times New Roman" w:eastAsia="MS Mincho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0D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B65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gj.al/publiki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ledjana gjoni</dc:creator>
  <cp:lastModifiedBy>Kostandine Dorri</cp:lastModifiedBy>
  <cp:revision>45</cp:revision>
  <dcterms:created xsi:type="dcterms:W3CDTF">2024-06-12T12:12:00Z</dcterms:created>
  <dcterms:modified xsi:type="dcterms:W3CDTF">2024-12-02T11:02:00Z</dcterms:modified>
</cp:coreProperties>
</file>