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62DD" w14:textId="77777777" w:rsidR="00AC7B0D" w:rsidRPr="00D64392" w:rsidRDefault="00AC7B0D" w:rsidP="00735747">
      <w:pPr>
        <w:spacing w:line="276" w:lineRule="auto"/>
        <w:jc w:val="center"/>
        <w:rPr>
          <w:rFonts w:asciiTheme="majorBidi" w:hAnsiTheme="majorBidi" w:cstheme="majorBidi"/>
          <w:b/>
          <w:lang w:val="sq-AL"/>
        </w:rPr>
      </w:pPr>
      <w:r w:rsidRPr="00D64392">
        <w:rPr>
          <w:rFonts w:asciiTheme="majorBidi" w:hAnsiTheme="majorBidi" w:cstheme="majorBidi"/>
          <w:b/>
          <w:lang w:val="sq-AL"/>
        </w:rPr>
        <w:t xml:space="preserve">KOMENTE DHE REKOMANDIME </w:t>
      </w:r>
    </w:p>
    <w:p w14:paraId="281B90ED" w14:textId="0C0E77DD" w:rsidR="00AC7B0D" w:rsidRPr="00D64392" w:rsidRDefault="00AC7B0D" w:rsidP="00735747">
      <w:pPr>
        <w:spacing w:line="276" w:lineRule="auto"/>
        <w:jc w:val="center"/>
        <w:rPr>
          <w:rFonts w:asciiTheme="majorBidi" w:hAnsiTheme="majorBidi" w:cstheme="majorBidi"/>
          <w:b/>
          <w:lang w:val="sq-AL"/>
        </w:rPr>
      </w:pPr>
      <w:r w:rsidRPr="00D64392">
        <w:rPr>
          <w:rFonts w:asciiTheme="majorBidi" w:hAnsiTheme="majorBidi" w:cstheme="majorBidi"/>
          <w:b/>
          <w:lang w:val="sq-AL"/>
        </w:rPr>
        <w:t xml:space="preserve">MBI RAPORTIN E MONITORIMIT TË </w:t>
      </w:r>
      <w:r w:rsidR="004209AC" w:rsidRPr="00D64392">
        <w:rPr>
          <w:rFonts w:asciiTheme="majorBidi" w:hAnsiTheme="majorBidi" w:cstheme="majorBidi"/>
          <w:b/>
          <w:lang w:val="sq-AL"/>
        </w:rPr>
        <w:t xml:space="preserve"> </w:t>
      </w:r>
      <w:r w:rsidR="00F37586">
        <w:rPr>
          <w:rFonts w:asciiTheme="majorBidi" w:hAnsiTheme="majorBidi" w:cstheme="majorBidi"/>
          <w:b/>
          <w:lang w:val="sq-AL"/>
        </w:rPr>
        <w:t>8</w:t>
      </w:r>
      <w:r w:rsidR="000364A2" w:rsidRPr="00D64392">
        <w:rPr>
          <w:rFonts w:asciiTheme="majorBidi" w:hAnsiTheme="majorBidi" w:cstheme="majorBidi"/>
          <w:b/>
          <w:lang w:val="sq-AL"/>
        </w:rPr>
        <w:t xml:space="preserve"> MUJORIT </w:t>
      </w:r>
      <w:r w:rsidR="00FE46CA" w:rsidRPr="00D64392">
        <w:rPr>
          <w:rFonts w:asciiTheme="majorBidi" w:hAnsiTheme="majorBidi" w:cstheme="majorBidi"/>
          <w:b/>
          <w:caps/>
          <w:lang w:val="sq-AL"/>
        </w:rPr>
        <w:t>202</w:t>
      </w:r>
      <w:r w:rsidR="000364A2" w:rsidRPr="00D64392">
        <w:rPr>
          <w:rFonts w:asciiTheme="majorBidi" w:hAnsiTheme="majorBidi" w:cstheme="majorBidi"/>
          <w:b/>
          <w:caps/>
          <w:lang w:val="sq-AL"/>
        </w:rPr>
        <w:t>4</w:t>
      </w:r>
    </w:p>
    <w:p w14:paraId="4493A95E" w14:textId="77777777" w:rsidR="00AC7B0D" w:rsidRPr="00D64392" w:rsidRDefault="00AC7B0D" w:rsidP="00034E3C">
      <w:pPr>
        <w:spacing w:line="276" w:lineRule="auto"/>
        <w:jc w:val="center"/>
        <w:rPr>
          <w:b/>
          <w:sz w:val="28"/>
          <w:szCs w:val="28"/>
          <w:lang w:val="sq-AL"/>
        </w:rPr>
      </w:pPr>
      <w:r w:rsidRPr="00D64392">
        <w:rPr>
          <w:rFonts w:asciiTheme="majorBidi" w:hAnsiTheme="majorBidi" w:cstheme="majorBidi"/>
          <w:b/>
          <w:lang w:val="sq-AL"/>
        </w:rPr>
        <w:t xml:space="preserve">PËR </w:t>
      </w:r>
      <w:r w:rsidR="0039549C" w:rsidRPr="00D64392">
        <w:rPr>
          <w:rFonts w:asciiTheme="majorBidi" w:hAnsiTheme="majorBidi" w:cstheme="majorBidi"/>
          <w:b/>
          <w:lang w:val="sq-AL"/>
        </w:rPr>
        <w:t>KËSHILLIN KOMBËTAR TË KONTABILITETIT</w:t>
      </w:r>
    </w:p>
    <w:p w14:paraId="6FD549BF" w14:textId="77777777" w:rsidR="0037703F" w:rsidRPr="00023A6B" w:rsidRDefault="0037703F" w:rsidP="00735747">
      <w:pPr>
        <w:tabs>
          <w:tab w:val="left" w:pos="2160"/>
        </w:tabs>
        <w:spacing w:line="276" w:lineRule="auto"/>
        <w:jc w:val="both"/>
        <w:rPr>
          <w:bCs/>
          <w:lang w:val="sq-AL"/>
        </w:rPr>
      </w:pPr>
    </w:p>
    <w:p w14:paraId="796BBED1" w14:textId="578323D9" w:rsidR="006E1988" w:rsidRPr="006E1988" w:rsidRDefault="00410EC1" w:rsidP="006E1988">
      <w:pPr>
        <w:pStyle w:val="ListParagraph"/>
        <w:numPr>
          <w:ilvl w:val="0"/>
          <w:numId w:val="13"/>
        </w:numPr>
        <w:spacing w:after="200" w:line="276" w:lineRule="auto"/>
        <w:jc w:val="both"/>
        <w:rPr>
          <w:rFonts w:eastAsia="Calibri"/>
          <w:b/>
          <w:sz w:val="24"/>
          <w:szCs w:val="24"/>
          <w:lang w:val="sq-AL"/>
        </w:rPr>
      </w:pPr>
      <w:r w:rsidRPr="006E1988">
        <w:rPr>
          <w:rFonts w:asciiTheme="majorBidi" w:hAnsiTheme="majorBidi" w:cstheme="majorBidi"/>
          <w:b/>
          <w:sz w:val="24"/>
          <w:szCs w:val="24"/>
          <w:lang w:val="sq-AL"/>
        </w:rPr>
        <w:t xml:space="preserve">Vlerësim i përgjithshëm </w:t>
      </w:r>
      <w:r w:rsidR="006E1988" w:rsidRPr="006E1988">
        <w:rPr>
          <w:rFonts w:eastAsia="Calibri"/>
          <w:b/>
          <w:sz w:val="24"/>
          <w:szCs w:val="24"/>
          <w:lang w:val="sq-AL"/>
        </w:rPr>
        <w:t>qëllimeve dhe objektivave të politikës si dhe performanca e  produkteve kryesore</w:t>
      </w:r>
    </w:p>
    <w:p w14:paraId="609404EB" w14:textId="037A1D8E" w:rsidR="00B61C60" w:rsidRPr="006E1988" w:rsidRDefault="006E1988" w:rsidP="00F45E37">
      <w:pPr>
        <w:tabs>
          <w:tab w:val="left" w:pos="2160"/>
        </w:tabs>
        <w:spacing w:line="360" w:lineRule="auto"/>
        <w:jc w:val="both"/>
        <w:rPr>
          <w:bCs/>
          <w:lang w:val="sq-AL"/>
        </w:rPr>
      </w:pPr>
      <w:r w:rsidRPr="006E1988">
        <w:rPr>
          <w:rFonts w:asciiTheme="majorBidi" w:hAnsiTheme="majorBidi" w:cstheme="majorBidi"/>
          <w:lang w:val="sq-AL"/>
        </w:rPr>
        <w:t xml:space="preserve">Këshilli Kombëtar i Kontabilitetit, administroi dhe menaxhoi fondet publike sipas programit “Planifikimi, Menaxhimi dhe Administrimi”. </w:t>
      </w:r>
    </w:p>
    <w:p w14:paraId="0D51CFFD" w14:textId="42827075" w:rsidR="006E1988" w:rsidRDefault="000364A2" w:rsidP="00F45E37">
      <w:pPr>
        <w:tabs>
          <w:tab w:val="left" w:pos="2160"/>
        </w:tabs>
        <w:spacing w:line="360" w:lineRule="auto"/>
        <w:jc w:val="both"/>
        <w:rPr>
          <w:rFonts w:asciiTheme="majorBidi" w:hAnsiTheme="majorBidi" w:cstheme="majorBidi"/>
          <w:i/>
          <w:iCs/>
          <w:lang w:val="sq-AL"/>
        </w:rPr>
      </w:pPr>
      <w:r w:rsidRPr="006E1988">
        <w:rPr>
          <w:bCs/>
          <w:lang w:val="sq-AL"/>
        </w:rPr>
        <w:t>Q</w:t>
      </w:r>
      <w:r w:rsidR="00AF5EE8">
        <w:rPr>
          <w:bCs/>
          <w:lang w:val="sq-AL"/>
        </w:rPr>
        <w:t>ë</w:t>
      </w:r>
      <w:r w:rsidRPr="006E1988">
        <w:rPr>
          <w:bCs/>
          <w:lang w:val="sq-AL"/>
        </w:rPr>
        <w:t>llimi i politik</w:t>
      </w:r>
      <w:r w:rsidR="00AF5EE8">
        <w:rPr>
          <w:bCs/>
          <w:lang w:val="sq-AL"/>
        </w:rPr>
        <w:t>ë</w:t>
      </w:r>
      <w:r w:rsidRPr="006E1988">
        <w:rPr>
          <w:bCs/>
          <w:lang w:val="sq-AL"/>
        </w:rPr>
        <w:t>s s</w:t>
      </w:r>
      <w:r w:rsidR="00AF5EE8">
        <w:rPr>
          <w:bCs/>
          <w:lang w:val="sq-AL"/>
        </w:rPr>
        <w:t>ë</w:t>
      </w:r>
      <w:r w:rsidRPr="006E1988">
        <w:rPr>
          <w:bCs/>
          <w:lang w:val="sq-AL"/>
        </w:rPr>
        <w:t xml:space="preserve"> k</w:t>
      </w:r>
      <w:r w:rsidR="00AF5EE8">
        <w:rPr>
          <w:bCs/>
          <w:lang w:val="sq-AL"/>
        </w:rPr>
        <w:t>ë</w:t>
      </w:r>
      <w:r w:rsidRPr="006E1988">
        <w:rPr>
          <w:bCs/>
          <w:lang w:val="sq-AL"/>
        </w:rPr>
        <w:t>tij programi</w:t>
      </w:r>
      <w:r w:rsidR="00F37586">
        <w:rPr>
          <w:bCs/>
          <w:lang w:val="sq-AL"/>
        </w:rPr>
        <w:t xml:space="preserve"> </w:t>
      </w:r>
      <w:r w:rsidR="00F45E37">
        <w:rPr>
          <w:bCs/>
          <w:lang w:val="sq-AL"/>
        </w:rPr>
        <w:t>ë</w:t>
      </w:r>
      <w:r w:rsidR="00F37586">
        <w:rPr>
          <w:bCs/>
          <w:lang w:val="sq-AL"/>
        </w:rPr>
        <w:t>sht</w:t>
      </w:r>
      <w:r w:rsidR="00F45E37">
        <w:rPr>
          <w:bCs/>
          <w:lang w:val="sq-AL"/>
        </w:rPr>
        <w:t>ë</w:t>
      </w:r>
      <w:r w:rsidR="00F37586">
        <w:rPr>
          <w:bCs/>
          <w:lang w:val="sq-AL"/>
        </w:rPr>
        <w:t>: “</w:t>
      </w:r>
      <w:r w:rsidR="006E1988" w:rsidRPr="006E1988">
        <w:rPr>
          <w:rFonts w:asciiTheme="majorBidi" w:hAnsiTheme="majorBidi" w:cstheme="majorBidi"/>
          <w:i/>
          <w:iCs/>
          <w:lang w:val="sq-AL"/>
        </w:rPr>
        <w:t>P</w:t>
      </w:r>
      <w:r w:rsidR="00AF5EE8">
        <w:rPr>
          <w:rFonts w:asciiTheme="majorBidi" w:hAnsiTheme="majorBidi" w:cstheme="majorBidi"/>
          <w:i/>
          <w:iCs/>
          <w:lang w:val="sq-AL"/>
        </w:rPr>
        <w:t>ë</w:t>
      </w:r>
      <w:r w:rsidR="006E1988" w:rsidRPr="006E1988">
        <w:rPr>
          <w:rFonts w:asciiTheme="majorBidi" w:hAnsiTheme="majorBidi" w:cstheme="majorBidi"/>
          <w:i/>
          <w:iCs/>
          <w:lang w:val="sq-AL"/>
        </w:rPr>
        <w:t>rsosja e vazhdueshme e raportimit financiar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nj</w:t>
      </w:r>
      <w:r w:rsidR="00AF5EE8">
        <w:rPr>
          <w:rFonts w:asciiTheme="majorBidi" w:hAnsiTheme="majorBidi" w:cstheme="majorBidi"/>
          <w:i/>
          <w:iCs/>
          <w:lang w:val="sq-AL"/>
        </w:rPr>
        <w:t>ë</w:t>
      </w:r>
      <w:r w:rsidR="006E1988" w:rsidRPr="006E1988">
        <w:rPr>
          <w:rFonts w:asciiTheme="majorBidi" w:hAnsiTheme="majorBidi" w:cstheme="majorBidi"/>
          <w:i/>
          <w:iCs/>
          <w:lang w:val="sq-AL"/>
        </w:rPr>
        <w:t>sive ekonomike n</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Republik</w:t>
      </w:r>
      <w:r w:rsidR="00AF5EE8">
        <w:rPr>
          <w:rFonts w:asciiTheme="majorBidi" w:hAnsiTheme="majorBidi" w:cstheme="majorBidi"/>
          <w:i/>
          <w:iCs/>
          <w:lang w:val="sq-AL"/>
        </w:rPr>
        <w:t>ë</w:t>
      </w:r>
      <w:r w:rsidR="006E1988" w:rsidRPr="006E1988">
        <w:rPr>
          <w:rFonts w:asciiTheme="majorBidi" w:hAnsiTheme="majorBidi" w:cstheme="majorBidi"/>
          <w:i/>
          <w:iCs/>
          <w:lang w:val="sq-AL"/>
        </w:rPr>
        <w:t>n e Shqip</w:t>
      </w:r>
      <w:r w:rsidR="00AF5EE8">
        <w:rPr>
          <w:rFonts w:asciiTheme="majorBidi" w:hAnsiTheme="majorBidi" w:cstheme="majorBidi"/>
          <w:i/>
          <w:iCs/>
          <w:lang w:val="sq-AL"/>
        </w:rPr>
        <w:t>ë</w:t>
      </w:r>
      <w:r w:rsidR="006E1988" w:rsidRPr="006E1988">
        <w:rPr>
          <w:rFonts w:asciiTheme="majorBidi" w:hAnsiTheme="majorBidi" w:cstheme="majorBidi"/>
          <w:i/>
          <w:iCs/>
          <w:lang w:val="sq-AL"/>
        </w:rPr>
        <w:t>ris</w:t>
      </w:r>
      <w:r w:rsidR="00AF5EE8">
        <w:rPr>
          <w:rFonts w:asciiTheme="majorBidi" w:hAnsiTheme="majorBidi" w:cstheme="majorBidi"/>
          <w:i/>
          <w:iCs/>
          <w:lang w:val="sq-AL"/>
        </w:rPr>
        <w:t>ë</w:t>
      </w:r>
      <w:r w:rsidR="006E1988" w:rsidRPr="006E1988">
        <w:rPr>
          <w:rFonts w:asciiTheme="majorBidi" w:hAnsiTheme="majorBidi" w:cstheme="majorBidi"/>
          <w:i/>
          <w:iCs/>
          <w:lang w:val="sq-AL"/>
        </w:rPr>
        <w:t>, ka p</w:t>
      </w:r>
      <w:r w:rsidR="00AF5EE8">
        <w:rPr>
          <w:rFonts w:asciiTheme="majorBidi" w:hAnsiTheme="majorBidi" w:cstheme="majorBidi"/>
          <w:i/>
          <w:iCs/>
          <w:lang w:val="sq-AL"/>
        </w:rPr>
        <w:t>ë</w:t>
      </w:r>
      <w:r w:rsidR="006E1988" w:rsidRPr="006E1988">
        <w:rPr>
          <w:rFonts w:asciiTheme="majorBidi" w:hAnsiTheme="majorBidi" w:cstheme="majorBidi"/>
          <w:i/>
          <w:iCs/>
          <w:lang w:val="sq-AL"/>
        </w:rPr>
        <w:t>r q</w:t>
      </w:r>
      <w:r w:rsidR="00AF5EE8">
        <w:rPr>
          <w:rFonts w:asciiTheme="majorBidi" w:hAnsiTheme="majorBidi" w:cstheme="majorBidi"/>
          <w:i/>
          <w:iCs/>
          <w:lang w:val="sq-AL"/>
        </w:rPr>
        <w:t>ë</w:t>
      </w:r>
      <w:r w:rsidR="006E1988" w:rsidRPr="006E1988">
        <w:rPr>
          <w:rFonts w:asciiTheme="majorBidi" w:hAnsiTheme="majorBidi" w:cstheme="majorBidi"/>
          <w:i/>
          <w:iCs/>
          <w:lang w:val="sq-AL"/>
        </w:rPr>
        <w:t>llim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rris</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besimin e investitor</w:t>
      </w:r>
      <w:r w:rsidR="00AF5EE8">
        <w:rPr>
          <w:rFonts w:asciiTheme="majorBidi" w:hAnsiTheme="majorBidi" w:cstheme="majorBidi"/>
          <w:i/>
          <w:iCs/>
          <w:lang w:val="sq-AL"/>
        </w:rPr>
        <w:t>ë</w:t>
      </w:r>
      <w:r w:rsidR="006E1988" w:rsidRPr="006E1988">
        <w:rPr>
          <w:rFonts w:asciiTheme="majorBidi" w:hAnsiTheme="majorBidi" w:cstheme="majorBidi"/>
          <w:i/>
          <w:iCs/>
          <w:lang w:val="sq-AL"/>
        </w:rPr>
        <w:t>ve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ndrysh</w:t>
      </w:r>
      <w:r w:rsidR="00AF5EE8">
        <w:rPr>
          <w:rFonts w:asciiTheme="majorBidi" w:hAnsiTheme="majorBidi" w:cstheme="majorBidi"/>
          <w:i/>
          <w:iCs/>
          <w:lang w:val="sq-AL"/>
        </w:rPr>
        <w:t>ë</w:t>
      </w:r>
      <w:r w:rsidR="006E1988" w:rsidRPr="006E1988">
        <w:rPr>
          <w:rFonts w:asciiTheme="majorBidi" w:hAnsiTheme="majorBidi" w:cstheme="majorBidi"/>
          <w:i/>
          <w:iCs/>
          <w:lang w:val="sq-AL"/>
        </w:rPr>
        <w:t>m, vendas e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huaj, me synim nxitjen e m</w:t>
      </w:r>
      <w:r w:rsidR="00AF5EE8">
        <w:rPr>
          <w:rFonts w:asciiTheme="majorBidi" w:hAnsiTheme="majorBidi" w:cstheme="majorBidi"/>
          <w:i/>
          <w:iCs/>
          <w:lang w:val="sq-AL"/>
        </w:rPr>
        <w:t>ë</w:t>
      </w:r>
      <w:r w:rsidR="006E1988" w:rsidRPr="006E1988">
        <w:rPr>
          <w:rFonts w:asciiTheme="majorBidi" w:hAnsiTheme="majorBidi" w:cstheme="majorBidi"/>
          <w:i/>
          <w:iCs/>
          <w:lang w:val="sq-AL"/>
        </w:rPr>
        <w:t>tejshme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investimeve n</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vend dhe hapjen e tregjeve t</w:t>
      </w:r>
      <w:r w:rsidR="00AF5EE8">
        <w:rPr>
          <w:rFonts w:asciiTheme="majorBidi" w:hAnsiTheme="majorBidi" w:cstheme="majorBidi"/>
          <w:i/>
          <w:iCs/>
          <w:lang w:val="sq-AL"/>
        </w:rPr>
        <w:t>ë</w:t>
      </w:r>
      <w:r w:rsidR="006E1988" w:rsidRPr="006E1988">
        <w:rPr>
          <w:rFonts w:asciiTheme="majorBidi" w:hAnsiTheme="majorBidi" w:cstheme="majorBidi"/>
          <w:i/>
          <w:iCs/>
          <w:lang w:val="sq-AL"/>
        </w:rPr>
        <w:t xml:space="preserve"> kapitaleve</w:t>
      </w:r>
      <w:r w:rsidR="006E1988">
        <w:rPr>
          <w:rFonts w:asciiTheme="majorBidi" w:hAnsiTheme="majorBidi" w:cstheme="majorBidi"/>
          <w:i/>
          <w:iCs/>
          <w:lang w:val="sq-AL"/>
        </w:rPr>
        <w:t>”.</w:t>
      </w:r>
    </w:p>
    <w:p w14:paraId="2120FF17" w14:textId="295AE5E3" w:rsidR="00F37CE9" w:rsidRDefault="00F37CE9" w:rsidP="00F45E37">
      <w:pPr>
        <w:tabs>
          <w:tab w:val="left" w:pos="2160"/>
        </w:tabs>
        <w:spacing w:line="360" w:lineRule="auto"/>
        <w:jc w:val="both"/>
        <w:rPr>
          <w:rFonts w:asciiTheme="majorBidi" w:hAnsiTheme="majorBidi" w:cstheme="majorBidi"/>
          <w:lang w:val="sq-AL"/>
        </w:rPr>
      </w:pPr>
      <w:r>
        <w:rPr>
          <w:rFonts w:asciiTheme="majorBidi" w:hAnsiTheme="majorBidi" w:cstheme="majorBidi"/>
          <w:lang w:val="sq-AL"/>
        </w:rPr>
        <w:t>Treguesit e performanc</w:t>
      </w:r>
      <w:r w:rsidR="00AC0133">
        <w:rPr>
          <w:rFonts w:asciiTheme="majorBidi" w:hAnsiTheme="majorBidi" w:cstheme="majorBidi"/>
          <w:lang w:val="sq-AL"/>
        </w:rPr>
        <w:t>ë</w:t>
      </w:r>
      <w:r>
        <w:rPr>
          <w:rFonts w:asciiTheme="majorBidi" w:hAnsiTheme="majorBidi" w:cstheme="majorBidi"/>
          <w:lang w:val="sq-AL"/>
        </w:rPr>
        <w:t>s n</w:t>
      </w:r>
      <w:r w:rsidR="00AC0133">
        <w:rPr>
          <w:rFonts w:asciiTheme="majorBidi" w:hAnsiTheme="majorBidi" w:cstheme="majorBidi"/>
          <w:lang w:val="sq-AL"/>
        </w:rPr>
        <w:t>ë</w:t>
      </w:r>
      <w:r>
        <w:rPr>
          <w:rFonts w:asciiTheme="majorBidi" w:hAnsiTheme="majorBidi" w:cstheme="majorBidi"/>
          <w:lang w:val="sq-AL"/>
        </w:rPr>
        <w:t xml:space="preserve"> nivel q</w:t>
      </w:r>
      <w:r w:rsidR="00AC0133">
        <w:rPr>
          <w:rFonts w:asciiTheme="majorBidi" w:hAnsiTheme="majorBidi" w:cstheme="majorBidi"/>
          <w:lang w:val="sq-AL"/>
        </w:rPr>
        <w:t>ë</w:t>
      </w:r>
      <w:r>
        <w:rPr>
          <w:rFonts w:asciiTheme="majorBidi" w:hAnsiTheme="majorBidi" w:cstheme="majorBidi"/>
          <w:lang w:val="sq-AL"/>
        </w:rPr>
        <w:t>llimi jan</w:t>
      </w:r>
      <w:r w:rsidR="00AC0133">
        <w:rPr>
          <w:rFonts w:asciiTheme="majorBidi" w:hAnsiTheme="majorBidi" w:cstheme="majorBidi"/>
          <w:lang w:val="sq-AL"/>
        </w:rPr>
        <w:t>ë</w:t>
      </w:r>
      <w:r>
        <w:rPr>
          <w:rFonts w:asciiTheme="majorBidi" w:hAnsiTheme="majorBidi" w:cstheme="majorBidi"/>
          <w:lang w:val="sq-AL"/>
        </w:rPr>
        <w:t xml:space="preserve"> si vijon:</w:t>
      </w:r>
    </w:p>
    <w:p w14:paraId="42B60F9B" w14:textId="58BAD1C7" w:rsidR="00F37CE9" w:rsidRPr="00F37CE9" w:rsidRDefault="00F37CE9" w:rsidP="00F37CE9">
      <w:pPr>
        <w:pStyle w:val="ListParagraph"/>
        <w:numPr>
          <w:ilvl w:val="0"/>
          <w:numId w:val="16"/>
        </w:numPr>
        <w:tabs>
          <w:tab w:val="left" w:pos="2160"/>
        </w:tabs>
        <w:spacing w:line="360" w:lineRule="auto"/>
        <w:jc w:val="both"/>
        <w:rPr>
          <w:bCs/>
          <w:i/>
          <w:iCs/>
          <w:sz w:val="22"/>
          <w:szCs w:val="22"/>
          <w:lang w:val="sq-AL"/>
        </w:rPr>
      </w:pPr>
      <w:r w:rsidRPr="00F37CE9">
        <w:rPr>
          <w:bCs/>
          <w:i/>
          <w:iCs/>
          <w:sz w:val="22"/>
          <w:szCs w:val="22"/>
          <w:lang w:val="sq-AL"/>
        </w:rPr>
        <w:t>Standartet Komb</w:t>
      </w:r>
      <w:r w:rsidR="00AC0133">
        <w:rPr>
          <w:bCs/>
          <w:i/>
          <w:iCs/>
          <w:sz w:val="22"/>
          <w:szCs w:val="22"/>
          <w:lang w:val="sq-AL"/>
        </w:rPr>
        <w:t>ë</w:t>
      </w:r>
      <w:r w:rsidRPr="00F37CE9">
        <w:rPr>
          <w:bCs/>
          <w:i/>
          <w:iCs/>
          <w:sz w:val="22"/>
          <w:szCs w:val="22"/>
          <w:lang w:val="sq-AL"/>
        </w:rPr>
        <w:t>tare t</w:t>
      </w:r>
      <w:r w:rsidR="00AC0133">
        <w:rPr>
          <w:bCs/>
          <w:i/>
          <w:iCs/>
          <w:sz w:val="22"/>
          <w:szCs w:val="22"/>
          <w:lang w:val="sq-AL"/>
        </w:rPr>
        <w:t>ë</w:t>
      </w:r>
      <w:r w:rsidRPr="00F37CE9">
        <w:rPr>
          <w:bCs/>
          <w:i/>
          <w:iCs/>
          <w:sz w:val="22"/>
          <w:szCs w:val="22"/>
          <w:lang w:val="sq-AL"/>
        </w:rPr>
        <w:t xml:space="preserve"> Kontabilitetit</w:t>
      </w:r>
      <w:r w:rsidR="00C2414C">
        <w:rPr>
          <w:bCs/>
          <w:i/>
          <w:iCs/>
          <w:sz w:val="22"/>
          <w:szCs w:val="22"/>
          <w:lang w:val="sq-AL"/>
        </w:rPr>
        <w:t>, i planifikuar si vjetor ne num</w:t>
      </w:r>
      <w:r w:rsidR="00AC0133">
        <w:rPr>
          <w:bCs/>
          <w:i/>
          <w:iCs/>
          <w:sz w:val="22"/>
          <w:szCs w:val="22"/>
          <w:lang w:val="sq-AL"/>
        </w:rPr>
        <w:t>ë</w:t>
      </w:r>
      <w:r w:rsidR="00C2414C">
        <w:rPr>
          <w:bCs/>
          <w:i/>
          <w:iCs/>
          <w:sz w:val="22"/>
          <w:szCs w:val="22"/>
          <w:lang w:val="sq-AL"/>
        </w:rPr>
        <w:t>r 16.</w:t>
      </w:r>
    </w:p>
    <w:p w14:paraId="3EB233CE" w14:textId="6F35EC20" w:rsidR="00F37CE9" w:rsidRPr="00F37CE9" w:rsidRDefault="00F37CE9" w:rsidP="00F37CE9">
      <w:pPr>
        <w:pStyle w:val="ListParagraph"/>
        <w:numPr>
          <w:ilvl w:val="0"/>
          <w:numId w:val="16"/>
        </w:numPr>
        <w:tabs>
          <w:tab w:val="left" w:pos="2160"/>
        </w:tabs>
        <w:spacing w:line="360" w:lineRule="auto"/>
        <w:jc w:val="both"/>
        <w:rPr>
          <w:bCs/>
          <w:i/>
          <w:iCs/>
          <w:sz w:val="22"/>
          <w:szCs w:val="22"/>
          <w:lang w:val="sq-AL"/>
        </w:rPr>
      </w:pPr>
      <w:r w:rsidRPr="00F37CE9">
        <w:rPr>
          <w:bCs/>
          <w:i/>
          <w:iCs/>
          <w:sz w:val="22"/>
          <w:szCs w:val="22"/>
          <w:lang w:val="sq-AL"/>
        </w:rPr>
        <w:t>Treguesit me baze gjinore</w:t>
      </w:r>
      <w:r w:rsidR="00C2414C">
        <w:rPr>
          <w:bCs/>
          <w:i/>
          <w:iCs/>
          <w:sz w:val="22"/>
          <w:szCs w:val="22"/>
          <w:lang w:val="sq-AL"/>
        </w:rPr>
        <w:t>( Raporti i punonjesve:gjinia femerore me ato mashkullore)</w:t>
      </w:r>
    </w:p>
    <w:p w14:paraId="6024A1AA" w14:textId="3F6E192E" w:rsidR="00F37CE9" w:rsidRPr="00F37CE9" w:rsidRDefault="00F37CE9" w:rsidP="00F37CE9">
      <w:pPr>
        <w:pStyle w:val="ListParagraph"/>
        <w:numPr>
          <w:ilvl w:val="0"/>
          <w:numId w:val="16"/>
        </w:numPr>
        <w:tabs>
          <w:tab w:val="left" w:pos="2160"/>
        </w:tabs>
        <w:spacing w:line="360" w:lineRule="auto"/>
        <w:jc w:val="both"/>
        <w:rPr>
          <w:bCs/>
          <w:i/>
          <w:iCs/>
          <w:sz w:val="22"/>
          <w:szCs w:val="22"/>
          <w:lang w:val="sq-AL"/>
        </w:rPr>
      </w:pPr>
      <w:r w:rsidRPr="00F37CE9">
        <w:rPr>
          <w:bCs/>
          <w:i/>
          <w:iCs/>
          <w:sz w:val="22"/>
          <w:szCs w:val="22"/>
          <w:lang w:val="sq-AL"/>
        </w:rPr>
        <w:t>Numri i standarteve komb</w:t>
      </w:r>
      <w:r w:rsidR="00AC0133">
        <w:rPr>
          <w:bCs/>
          <w:i/>
          <w:iCs/>
          <w:sz w:val="22"/>
          <w:szCs w:val="22"/>
          <w:lang w:val="sq-AL"/>
        </w:rPr>
        <w:t>ë</w:t>
      </w:r>
      <w:r>
        <w:rPr>
          <w:bCs/>
          <w:i/>
          <w:iCs/>
          <w:sz w:val="22"/>
          <w:szCs w:val="22"/>
          <w:lang w:val="sq-AL"/>
        </w:rPr>
        <w:t>t</w:t>
      </w:r>
      <w:r w:rsidRPr="00F37CE9">
        <w:rPr>
          <w:bCs/>
          <w:i/>
          <w:iCs/>
          <w:sz w:val="22"/>
          <w:szCs w:val="22"/>
          <w:lang w:val="sq-AL"/>
        </w:rPr>
        <w:t>a</w:t>
      </w:r>
      <w:r>
        <w:rPr>
          <w:bCs/>
          <w:i/>
          <w:iCs/>
          <w:sz w:val="22"/>
          <w:szCs w:val="22"/>
          <w:lang w:val="sq-AL"/>
        </w:rPr>
        <w:t>r</w:t>
      </w:r>
      <w:r w:rsidRPr="00F37CE9">
        <w:rPr>
          <w:bCs/>
          <w:i/>
          <w:iCs/>
          <w:sz w:val="22"/>
          <w:szCs w:val="22"/>
          <w:lang w:val="sq-AL"/>
        </w:rPr>
        <w:t>e t</w:t>
      </w:r>
      <w:r w:rsidR="00AC0133">
        <w:rPr>
          <w:bCs/>
          <w:i/>
          <w:iCs/>
          <w:sz w:val="22"/>
          <w:szCs w:val="22"/>
          <w:lang w:val="sq-AL"/>
        </w:rPr>
        <w:t>ë</w:t>
      </w:r>
      <w:r w:rsidRPr="00F37CE9">
        <w:rPr>
          <w:bCs/>
          <w:i/>
          <w:iCs/>
          <w:sz w:val="22"/>
          <w:szCs w:val="22"/>
          <w:lang w:val="sq-AL"/>
        </w:rPr>
        <w:t xml:space="preserve"> zbatuara</w:t>
      </w:r>
      <w:r w:rsidR="00C2414C">
        <w:rPr>
          <w:bCs/>
          <w:i/>
          <w:iCs/>
          <w:sz w:val="22"/>
          <w:szCs w:val="22"/>
          <w:lang w:val="sq-AL"/>
        </w:rPr>
        <w:t xml:space="preserve"> i planifikuar si vjetor ne num</w:t>
      </w:r>
      <w:r w:rsidR="00AC0133">
        <w:rPr>
          <w:bCs/>
          <w:i/>
          <w:iCs/>
          <w:sz w:val="22"/>
          <w:szCs w:val="22"/>
          <w:lang w:val="sq-AL"/>
        </w:rPr>
        <w:t>ë</w:t>
      </w:r>
      <w:r w:rsidR="00C2414C">
        <w:rPr>
          <w:bCs/>
          <w:i/>
          <w:iCs/>
          <w:sz w:val="22"/>
          <w:szCs w:val="22"/>
          <w:lang w:val="sq-AL"/>
        </w:rPr>
        <w:t>r 16.</w:t>
      </w:r>
    </w:p>
    <w:p w14:paraId="1D218559" w14:textId="2FC73E27" w:rsidR="00F37CE9" w:rsidRPr="00F37CE9" w:rsidRDefault="00F37CE9" w:rsidP="00F37CE9">
      <w:pPr>
        <w:pStyle w:val="ListParagraph"/>
        <w:numPr>
          <w:ilvl w:val="0"/>
          <w:numId w:val="16"/>
        </w:numPr>
        <w:tabs>
          <w:tab w:val="left" w:pos="2160"/>
        </w:tabs>
        <w:spacing w:line="360" w:lineRule="auto"/>
        <w:jc w:val="both"/>
        <w:rPr>
          <w:bCs/>
          <w:i/>
          <w:iCs/>
          <w:sz w:val="22"/>
          <w:szCs w:val="22"/>
          <w:lang w:val="sq-AL"/>
        </w:rPr>
      </w:pPr>
      <w:r w:rsidRPr="00F37CE9">
        <w:rPr>
          <w:bCs/>
          <w:i/>
          <w:iCs/>
          <w:sz w:val="22"/>
          <w:szCs w:val="22"/>
          <w:lang w:val="sq-AL"/>
        </w:rPr>
        <w:t>Numri i standarteve nd</w:t>
      </w:r>
      <w:r w:rsidR="00AC0133">
        <w:rPr>
          <w:bCs/>
          <w:i/>
          <w:iCs/>
          <w:sz w:val="22"/>
          <w:szCs w:val="22"/>
          <w:lang w:val="sq-AL"/>
        </w:rPr>
        <w:t>ë</w:t>
      </w:r>
      <w:r w:rsidRPr="00F37CE9">
        <w:rPr>
          <w:bCs/>
          <w:i/>
          <w:iCs/>
          <w:sz w:val="22"/>
          <w:szCs w:val="22"/>
          <w:lang w:val="sq-AL"/>
        </w:rPr>
        <w:t>rkomb</w:t>
      </w:r>
      <w:r w:rsidR="00AC0133">
        <w:rPr>
          <w:bCs/>
          <w:i/>
          <w:iCs/>
          <w:sz w:val="22"/>
          <w:szCs w:val="22"/>
          <w:lang w:val="sq-AL"/>
        </w:rPr>
        <w:t>ë</w:t>
      </w:r>
      <w:r w:rsidRPr="00F37CE9">
        <w:rPr>
          <w:bCs/>
          <w:i/>
          <w:iCs/>
          <w:sz w:val="22"/>
          <w:szCs w:val="22"/>
          <w:lang w:val="sq-AL"/>
        </w:rPr>
        <w:t>tare t</w:t>
      </w:r>
      <w:r w:rsidR="00AC0133">
        <w:rPr>
          <w:bCs/>
          <w:i/>
          <w:iCs/>
          <w:sz w:val="22"/>
          <w:szCs w:val="22"/>
          <w:lang w:val="sq-AL"/>
        </w:rPr>
        <w:t>ë</w:t>
      </w:r>
      <w:r w:rsidRPr="00F37CE9">
        <w:rPr>
          <w:bCs/>
          <w:i/>
          <w:iCs/>
          <w:sz w:val="22"/>
          <w:szCs w:val="22"/>
          <w:lang w:val="sq-AL"/>
        </w:rPr>
        <w:t xml:space="preserve"> zbatuara</w:t>
      </w:r>
      <w:r w:rsidR="00C2414C">
        <w:rPr>
          <w:bCs/>
          <w:i/>
          <w:iCs/>
          <w:sz w:val="22"/>
          <w:szCs w:val="22"/>
          <w:lang w:val="sq-AL"/>
        </w:rPr>
        <w:t xml:space="preserve"> i planifikuar si vjetor n</w:t>
      </w:r>
      <w:r w:rsidR="00AC0133">
        <w:rPr>
          <w:bCs/>
          <w:i/>
          <w:iCs/>
          <w:sz w:val="22"/>
          <w:szCs w:val="22"/>
          <w:lang w:val="sq-AL"/>
        </w:rPr>
        <w:t>ë</w:t>
      </w:r>
      <w:r w:rsidR="00C2414C">
        <w:rPr>
          <w:bCs/>
          <w:i/>
          <w:iCs/>
          <w:sz w:val="22"/>
          <w:szCs w:val="22"/>
          <w:lang w:val="sq-AL"/>
        </w:rPr>
        <w:t xml:space="preserve"> num</w:t>
      </w:r>
      <w:r w:rsidR="00AC0133">
        <w:rPr>
          <w:bCs/>
          <w:i/>
          <w:iCs/>
          <w:sz w:val="22"/>
          <w:szCs w:val="22"/>
          <w:lang w:val="sq-AL"/>
        </w:rPr>
        <w:t>ë</w:t>
      </w:r>
      <w:r w:rsidR="00C2414C">
        <w:rPr>
          <w:bCs/>
          <w:i/>
          <w:iCs/>
          <w:sz w:val="22"/>
          <w:szCs w:val="22"/>
          <w:lang w:val="sq-AL"/>
        </w:rPr>
        <w:t>r 41.</w:t>
      </w:r>
    </w:p>
    <w:p w14:paraId="58359FE1" w14:textId="5F294AC9" w:rsidR="006E1988" w:rsidRDefault="006E1988" w:rsidP="00F45E37">
      <w:pPr>
        <w:tabs>
          <w:tab w:val="left" w:pos="2160"/>
        </w:tabs>
        <w:spacing w:line="360" w:lineRule="auto"/>
        <w:jc w:val="both"/>
        <w:rPr>
          <w:rFonts w:asciiTheme="majorBidi" w:hAnsiTheme="majorBidi" w:cstheme="majorBidi"/>
          <w:i/>
          <w:iCs/>
          <w:lang w:val="sq-AL"/>
        </w:rPr>
      </w:pPr>
      <w:r>
        <w:rPr>
          <w:bCs/>
          <w:lang w:val="sq-AL"/>
        </w:rPr>
        <w:t>Arritja e q</w:t>
      </w:r>
      <w:r w:rsidR="00AF5EE8">
        <w:rPr>
          <w:bCs/>
          <w:lang w:val="sq-AL"/>
        </w:rPr>
        <w:t>ë</w:t>
      </w:r>
      <w:r>
        <w:rPr>
          <w:bCs/>
          <w:lang w:val="sq-AL"/>
        </w:rPr>
        <w:t>llimi</w:t>
      </w:r>
      <w:r w:rsidR="00C2414C">
        <w:rPr>
          <w:bCs/>
          <w:lang w:val="sq-AL"/>
        </w:rPr>
        <w:t>t t</w:t>
      </w:r>
      <w:r w:rsidR="00AC0133">
        <w:rPr>
          <w:bCs/>
          <w:lang w:val="sq-AL"/>
        </w:rPr>
        <w:t>ë</w:t>
      </w:r>
      <w:r w:rsidR="00C2414C">
        <w:rPr>
          <w:bCs/>
          <w:lang w:val="sq-AL"/>
        </w:rPr>
        <w:t xml:space="preserve"> m</w:t>
      </w:r>
      <w:r w:rsidR="00AC0133">
        <w:rPr>
          <w:bCs/>
          <w:lang w:val="sq-AL"/>
        </w:rPr>
        <w:t>ë</w:t>
      </w:r>
      <w:r w:rsidR="00C2414C">
        <w:rPr>
          <w:bCs/>
          <w:lang w:val="sq-AL"/>
        </w:rPr>
        <w:t>sip</w:t>
      </w:r>
      <w:r w:rsidR="00AC0133">
        <w:rPr>
          <w:bCs/>
          <w:lang w:val="sq-AL"/>
        </w:rPr>
        <w:t>ë</w:t>
      </w:r>
      <w:r w:rsidR="00C2414C">
        <w:rPr>
          <w:bCs/>
          <w:lang w:val="sq-AL"/>
        </w:rPr>
        <w:t>rm synohet</w:t>
      </w:r>
      <w:r>
        <w:rPr>
          <w:bCs/>
          <w:lang w:val="sq-AL"/>
        </w:rPr>
        <w:t xml:space="preserve"> duke pasur si objektiv kryesor: “</w:t>
      </w:r>
      <w:r w:rsidR="00F37586">
        <w:rPr>
          <w:rFonts w:asciiTheme="majorBidi" w:hAnsiTheme="majorBidi" w:cstheme="majorBidi"/>
          <w:i/>
          <w:iCs/>
          <w:lang w:val="sq-AL"/>
        </w:rPr>
        <w:t>Fuqizimi i funksionit menaxhues, n</w:t>
      </w:r>
      <w:r w:rsidR="00F45E37">
        <w:rPr>
          <w:rFonts w:asciiTheme="majorBidi" w:hAnsiTheme="majorBidi" w:cstheme="majorBidi"/>
          <w:i/>
          <w:iCs/>
          <w:lang w:val="sq-AL"/>
        </w:rPr>
        <w:t>ë</w:t>
      </w:r>
      <w:r w:rsidR="00F37586">
        <w:rPr>
          <w:rFonts w:asciiTheme="majorBidi" w:hAnsiTheme="majorBidi" w:cstheme="majorBidi"/>
          <w:i/>
          <w:iCs/>
          <w:lang w:val="sq-AL"/>
        </w:rPr>
        <w:t xml:space="preserve"> funksion t</w:t>
      </w:r>
      <w:r w:rsidR="00F45E37">
        <w:rPr>
          <w:rFonts w:asciiTheme="majorBidi" w:hAnsiTheme="majorBidi" w:cstheme="majorBidi"/>
          <w:i/>
          <w:iCs/>
          <w:lang w:val="sq-AL"/>
        </w:rPr>
        <w:t>ë</w:t>
      </w:r>
      <w:r w:rsidR="00F37586">
        <w:rPr>
          <w:rFonts w:asciiTheme="majorBidi" w:hAnsiTheme="majorBidi" w:cstheme="majorBidi"/>
          <w:i/>
          <w:iCs/>
          <w:lang w:val="sq-AL"/>
        </w:rPr>
        <w:t xml:space="preserve"> implementimit</w:t>
      </w:r>
      <w:r w:rsidR="00F37CE9">
        <w:rPr>
          <w:rFonts w:asciiTheme="majorBidi" w:hAnsiTheme="majorBidi" w:cstheme="majorBidi"/>
          <w:i/>
          <w:iCs/>
          <w:lang w:val="sq-AL"/>
        </w:rPr>
        <w:t xml:space="preserve"> </w:t>
      </w:r>
      <w:r w:rsidR="00F37586">
        <w:rPr>
          <w:rFonts w:asciiTheme="majorBidi" w:hAnsiTheme="majorBidi" w:cstheme="majorBidi"/>
          <w:i/>
          <w:iCs/>
          <w:lang w:val="sq-AL"/>
        </w:rPr>
        <w:t>t</w:t>
      </w:r>
      <w:r w:rsidR="00F45E37">
        <w:rPr>
          <w:rFonts w:asciiTheme="majorBidi" w:hAnsiTheme="majorBidi" w:cstheme="majorBidi"/>
          <w:i/>
          <w:iCs/>
          <w:lang w:val="sq-AL"/>
        </w:rPr>
        <w:t>ë</w:t>
      </w:r>
      <w:r w:rsidR="00F37586">
        <w:rPr>
          <w:rFonts w:asciiTheme="majorBidi" w:hAnsiTheme="majorBidi" w:cstheme="majorBidi"/>
          <w:i/>
          <w:iCs/>
          <w:lang w:val="sq-AL"/>
        </w:rPr>
        <w:t xml:space="preserve"> suksessh</w:t>
      </w:r>
      <w:r w:rsidR="00F45E37">
        <w:rPr>
          <w:rFonts w:asciiTheme="majorBidi" w:hAnsiTheme="majorBidi" w:cstheme="majorBidi"/>
          <w:i/>
          <w:iCs/>
          <w:lang w:val="sq-AL"/>
        </w:rPr>
        <w:t>ë</w:t>
      </w:r>
      <w:r w:rsidR="00F37586">
        <w:rPr>
          <w:rFonts w:asciiTheme="majorBidi" w:hAnsiTheme="majorBidi" w:cstheme="majorBidi"/>
          <w:i/>
          <w:iCs/>
          <w:lang w:val="sq-AL"/>
        </w:rPr>
        <w:t>m t</w:t>
      </w:r>
      <w:r w:rsidR="00F45E37">
        <w:rPr>
          <w:rFonts w:asciiTheme="majorBidi" w:hAnsiTheme="majorBidi" w:cstheme="majorBidi"/>
          <w:i/>
          <w:iCs/>
          <w:lang w:val="sq-AL"/>
        </w:rPr>
        <w:t>ë</w:t>
      </w:r>
      <w:r w:rsidR="00F37586">
        <w:rPr>
          <w:rFonts w:asciiTheme="majorBidi" w:hAnsiTheme="majorBidi" w:cstheme="majorBidi"/>
          <w:i/>
          <w:iCs/>
          <w:lang w:val="sq-AL"/>
        </w:rPr>
        <w:t xml:space="preserve"> programit, konform k</w:t>
      </w:r>
      <w:r w:rsidR="00F45E37">
        <w:rPr>
          <w:rFonts w:asciiTheme="majorBidi" w:hAnsiTheme="majorBidi" w:cstheme="majorBidi"/>
          <w:i/>
          <w:iCs/>
          <w:lang w:val="sq-AL"/>
        </w:rPr>
        <w:t>ë</w:t>
      </w:r>
      <w:r w:rsidR="00F37586">
        <w:rPr>
          <w:rFonts w:asciiTheme="majorBidi" w:hAnsiTheme="majorBidi" w:cstheme="majorBidi"/>
          <w:i/>
          <w:iCs/>
          <w:lang w:val="sq-AL"/>
        </w:rPr>
        <w:t>rkesave t</w:t>
      </w:r>
      <w:r w:rsidR="00F45E37">
        <w:rPr>
          <w:rFonts w:asciiTheme="majorBidi" w:hAnsiTheme="majorBidi" w:cstheme="majorBidi"/>
          <w:i/>
          <w:iCs/>
          <w:lang w:val="sq-AL"/>
        </w:rPr>
        <w:t>ë</w:t>
      </w:r>
      <w:r w:rsidR="00F37586">
        <w:rPr>
          <w:rFonts w:asciiTheme="majorBidi" w:hAnsiTheme="majorBidi" w:cstheme="majorBidi"/>
          <w:i/>
          <w:iCs/>
          <w:lang w:val="sq-AL"/>
        </w:rPr>
        <w:t xml:space="preserve"> kuadrit ligjor n</w:t>
      </w:r>
      <w:r w:rsidR="00F45E37">
        <w:rPr>
          <w:rFonts w:asciiTheme="majorBidi" w:hAnsiTheme="majorBidi" w:cstheme="majorBidi"/>
          <w:i/>
          <w:iCs/>
          <w:lang w:val="sq-AL"/>
        </w:rPr>
        <w:t>ë</w:t>
      </w:r>
      <w:r w:rsidR="00F37586">
        <w:rPr>
          <w:rFonts w:asciiTheme="majorBidi" w:hAnsiTheme="majorBidi" w:cstheme="majorBidi"/>
          <w:i/>
          <w:iCs/>
          <w:lang w:val="sq-AL"/>
        </w:rPr>
        <w:t xml:space="preserve"> fuqi”.</w:t>
      </w:r>
    </w:p>
    <w:p w14:paraId="24982A90" w14:textId="2E683E84" w:rsidR="00F37CE9" w:rsidRDefault="00F37CE9" w:rsidP="00F45E37">
      <w:pPr>
        <w:tabs>
          <w:tab w:val="left" w:pos="2160"/>
        </w:tabs>
        <w:spacing w:line="360" w:lineRule="auto"/>
        <w:jc w:val="both"/>
        <w:rPr>
          <w:rFonts w:asciiTheme="majorBidi" w:hAnsiTheme="majorBidi" w:cstheme="majorBidi"/>
          <w:i/>
          <w:iCs/>
          <w:lang w:val="sq-AL"/>
        </w:rPr>
      </w:pPr>
      <w:r w:rsidRPr="00F37CE9">
        <w:rPr>
          <w:rFonts w:asciiTheme="majorBidi" w:hAnsiTheme="majorBidi" w:cstheme="majorBidi"/>
          <w:lang w:val="sq-AL"/>
        </w:rPr>
        <w:t>Treguesit e performanc</w:t>
      </w:r>
      <w:r w:rsidR="00AC0133">
        <w:rPr>
          <w:rFonts w:asciiTheme="majorBidi" w:hAnsiTheme="majorBidi" w:cstheme="majorBidi"/>
          <w:lang w:val="sq-AL"/>
        </w:rPr>
        <w:t>ë</w:t>
      </w:r>
      <w:r w:rsidRPr="00F37CE9">
        <w:rPr>
          <w:rFonts w:asciiTheme="majorBidi" w:hAnsiTheme="majorBidi" w:cstheme="majorBidi"/>
          <w:lang w:val="sq-AL"/>
        </w:rPr>
        <w:t>s q</w:t>
      </w:r>
      <w:r w:rsidR="00AC0133">
        <w:rPr>
          <w:rFonts w:asciiTheme="majorBidi" w:hAnsiTheme="majorBidi" w:cstheme="majorBidi"/>
          <w:lang w:val="sq-AL"/>
        </w:rPr>
        <w:t>ë</w:t>
      </w:r>
      <w:r w:rsidRPr="00F37CE9">
        <w:rPr>
          <w:rFonts w:asciiTheme="majorBidi" w:hAnsiTheme="majorBidi" w:cstheme="majorBidi"/>
          <w:lang w:val="sq-AL"/>
        </w:rPr>
        <w:t xml:space="preserve"> masin realizimin e objektivit t</w:t>
      </w:r>
      <w:r w:rsidR="00AC0133">
        <w:rPr>
          <w:rFonts w:asciiTheme="majorBidi" w:hAnsiTheme="majorBidi" w:cstheme="majorBidi"/>
          <w:lang w:val="sq-AL"/>
        </w:rPr>
        <w:t>ë</w:t>
      </w:r>
      <w:r w:rsidRPr="00F37CE9">
        <w:rPr>
          <w:rFonts w:asciiTheme="majorBidi" w:hAnsiTheme="majorBidi" w:cstheme="majorBidi"/>
          <w:lang w:val="sq-AL"/>
        </w:rPr>
        <w:t xml:space="preserve"> m</w:t>
      </w:r>
      <w:r w:rsidR="00AC0133">
        <w:rPr>
          <w:rFonts w:asciiTheme="majorBidi" w:hAnsiTheme="majorBidi" w:cstheme="majorBidi"/>
          <w:lang w:val="sq-AL"/>
        </w:rPr>
        <w:t>ë</w:t>
      </w:r>
      <w:r w:rsidRPr="00F37CE9">
        <w:rPr>
          <w:rFonts w:asciiTheme="majorBidi" w:hAnsiTheme="majorBidi" w:cstheme="majorBidi"/>
          <w:lang w:val="sq-AL"/>
        </w:rPr>
        <w:t>sip</w:t>
      </w:r>
      <w:r w:rsidR="00AC0133">
        <w:rPr>
          <w:rFonts w:asciiTheme="majorBidi" w:hAnsiTheme="majorBidi" w:cstheme="majorBidi"/>
          <w:lang w:val="sq-AL"/>
        </w:rPr>
        <w:t>ë</w:t>
      </w:r>
      <w:r w:rsidRPr="00F37CE9">
        <w:rPr>
          <w:rFonts w:asciiTheme="majorBidi" w:hAnsiTheme="majorBidi" w:cstheme="majorBidi"/>
          <w:lang w:val="sq-AL"/>
        </w:rPr>
        <w:t>rm jan</w:t>
      </w:r>
      <w:r w:rsidR="00AC0133">
        <w:rPr>
          <w:rFonts w:asciiTheme="majorBidi" w:hAnsiTheme="majorBidi" w:cstheme="majorBidi"/>
          <w:lang w:val="sq-AL"/>
        </w:rPr>
        <w:t>ë</w:t>
      </w:r>
      <w:r w:rsidRPr="00F37CE9">
        <w:rPr>
          <w:rFonts w:asciiTheme="majorBidi" w:hAnsiTheme="majorBidi" w:cstheme="majorBidi"/>
          <w:lang w:val="sq-AL"/>
        </w:rPr>
        <w:t xml:space="preserve"> si vijon</w:t>
      </w:r>
      <w:r>
        <w:rPr>
          <w:rFonts w:asciiTheme="majorBidi" w:hAnsiTheme="majorBidi" w:cstheme="majorBidi"/>
          <w:i/>
          <w:iCs/>
          <w:lang w:val="sq-AL"/>
        </w:rPr>
        <w:t>:</w:t>
      </w:r>
    </w:p>
    <w:p w14:paraId="5E8FFB68" w14:textId="18273EFB" w:rsidR="00F37CE9" w:rsidRPr="00C2414C" w:rsidRDefault="00F37CE9" w:rsidP="00F37CE9">
      <w:pPr>
        <w:pStyle w:val="ListParagraph"/>
        <w:numPr>
          <w:ilvl w:val="0"/>
          <w:numId w:val="16"/>
        </w:numPr>
        <w:tabs>
          <w:tab w:val="left" w:pos="2160"/>
        </w:tabs>
        <w:spacing w:line="360" w:lineRule="auto"/>
        <w:jc w:val="both"/>
        <w:rPr>
          <w:rFonts w:asciiTheme="majorBidi" w:hAnsiTheme="majorBidi" w:cstheme="majorBidi"/>
          <w:i/>
          <w:iCs/>
          <w:sz w:val="22"/>
          <w:szCs w:val="22"/>
          <w:lang w:val="sq-AL"/>
        </w:rPr>
      </w:pPr>
      <w:r w:rsidRPr="00C2414C">
        <w:rPr>
          <w:rFonts w:asciiTheme="majorBidi" w:hAnsiTheme="majorBidi" w:cstheme="majorBidi"/>
          <w:i/>
          <w:iCs/>
          <w:sz w:val="22"/>
          <w:szCs w:val="22"/>
          <w:lang w:val="sq-AL"/>
        </w:rPr>
        <w:t>P</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rmir</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simi i kushteve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pun</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s p</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r punonj</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sit</w:t>
      </w:r>
      <w:r w:rsidR="00C2414C" w:rsidRPr="00C2414C">
        <w:rPr>
          <w:rFonts w:asciiTheme="majorBidi" w:hAnsiTheme="majorBidi" w:cstheme="majorBidi"/>
          <w:i/>
          <w:iCs/>
          <w:sz w:val="22"/>
          <w:szCs w:val="22"/>
          <w:lang w:val="sq-AL"/>
        </w:rPr>
        <w:t xml:space="preserve"> ( 6 punonj</w:t>
      </w:r>
      <w:r w:rsidR="00AC0133">
        <w:rPr>
          <w:rFonts w:asciiTheme="majorBidi" w:hAnsiTheme="majorBidi" w:cstheme="majorBidi"/>
          <w:i/>
          <w:iCs/>
          <w:sz w:val="22"/>
          <w:szCs w:val="22"/>
          <w:lang w:val="sq-AL"/>
        </w:rPr>
        <w:t>ë</w:t>
      </w:r>
      <w:r w:rsidR="00C2414C" w:rsidRPr="00C2414C">
        <w:rPr>
          <w:rFonts w:asciiTheme="majorBidi" w:hAnsiTheme="majorBidi" w:cstheme="majorBidi"/>
          <w:i/>
          <w:iCs/>
          <w:sz w:val="22"/>
          <w:szCs w:val="22"/>
          <w:lang w:val="sq-AL"/>
        </w:rPr>
        <w:t>s)</w:t>
      </w:r>
    </w:p>
    <w:p w14:paraId="07EFE4D2" w14:textId="0C213867" w:rsidR="00F37CE9" w:rsidRPr="00C2414C" w:rsidRDefault="00F37CE9" w:rsidP="00F37CE9">
      <w:pPr>
        <w:pStyle w:val="ListParagraph"/>
        <w:numPr>
          <w:ilvl w:val="0"/>
          <w:numId w:val="16"/>
        </w:numPr>
        <w:tabs>
          <w:tab w:val="left" w:pos="2160"/>
        </w:tabs>
        <w:spacing w:line="360" w:lineRule="auto"/>
        <w:jc w:val="both"/>
        <w:rPr>
          <w:rFonts w:asciiTheme="majorBidi" w:hAnsiTheme="majorBidi" w:cstheme="majorBidi"/>
          <w:i/>
          <w:iCs/>
          <w:sz w:val="22"/>
          <w:szCs w:val="22"/>
          <w:lang w:val="sq-AL"/>
        </w:rPr>
      </w:pPr>
      <w:r w:rsidRPr="00C2414C">
        <w:rPr>
          <w:rFonts w:asciiTheme="majorBidi" w:hAnsiTheme="majorBidi" w:cstheme="majorBidi"/>
          <w:i/>
          <w:iCs/>
          <w:sz w:val="22"/>
          <w:szCs w:val="22"/>
          <w:lang w:val="sq-AL"/>
        </w:rPr>
        <w:t>Numri i subjekteve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cilat do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inspektohen/auditohen n</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zbatim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standarteve </w:t>
      </w:r>
      <w:r w:rsidR="00C2414C" w:rsidRPr="00C2414C">
        <w:rPr>
          <w:rFonts w:asciiTheme="majorBidi" w:hAnsiTheme="majorBidi" w:cstheme="majorBidi"/>
          <w:i/>
          <w:iCs/>
          <w:sz w:val="22"/>
          <w:szCs w:val="22"/>
          <w:lang w:val="sq-AL"/>
        </w:rPr>
        <w:t xml:space="preserve"> komb</w:t>
      </w:r>
      <w:r w:rsidR="00AC0133">
        <w:rPr>
          <w:rFonts w:asciiTheme="majorBidi" w:hAnsiTheme="majorBidi" w:cstheme="majorBidi"/>
          <w:i/>
          <w:iCs/>
          <w:sz w:val="22"/>
          <w:szCs w:val="22"/>
          <w:lang w:val="sq-AL"/>
        </w:rPr>
        <w:t>ë</w:t>
      </w:r>
      <w:r w:rsidR="00C2414C" w:rsidRPr="00C2414C">
        <w:rPr>
          <w:rFonts w:asciiTheme="majorBidi" w:hAnsiTheme="majorBidi" w:cstheme="majorBidi"/>
          <w:i/>
          <w:iCs/>
          <w:sz w:val="22"/>
          <w:szCs w:val="22"/>
          <w:lang w:val="sq-AL"/>
        </w:rPr>
        <w:t>tare, i planifikuar si num</w:t>
      </w:r>
      <w:r w:rsidR="00AC0133">
        <w:rPr>
          <w:rFonts w:asciiTheme="majorBidi" w:hAnsiTheme="majorBidi" w:cstheme="majorBidi"/>
          <w:i/>
          <w:iCs/>
          <w:sz w:val="22"/>
          <w:szCs w:val="22"/>
          <w:lang w:val="sq-AL"/>
        </w:rPr>
        <w:t>ë</w:t>
      </w:r>
      <w:r w:rsidR="00C2414C" w:rsidRPr="00C2414C">
        <w:rPr>
          <w:rFonts w:asciiTheme="majorBidi" w:hAnsiTheme="majorBidi" w:cstheme="majorBidi"/>
          <w:i/>
          <w:iCs/>
          <w:sz w:val="22"/>
          <w:szCs w:val="22"/>
          <w:lang w:val="sq-AL"/>
        </w:rPr>
        <w:t>r 108.</w:t>
      </w:r>
    </w:p>
    <w:p w14:paraId="07B7F87F" w14:textId="07880D78" w:rsidR="00C2414C" w:rsidRDefault="00C2414C" w:rsidP="00C2414C">
      <w:pPr>
        <w:pStyle w:val="ListParagraph"/>
        <w:numPr>
          <w:ilvl w:val="0"/>
          <w:numId w:val="16"/>
        </w:numPr>
        <w:tabs>
          <w:tab w:val="left" w:pos="2160"/>
        </w:tabs>
        <w:spacing w:line="360" w:lineRule="auto"/>
        <w:jc w:val="both"/>
        <w:rPr>
          <w:rFonts w:asciiTheme="majorBidi" w:hAnsiTheme="majorBidi" w:cstheme="majorBidi"/>
          <w:lang w:val="sq-AL"/>
        </w:rPr>
      </w:pPr>
      <w:r w:rsidRPr="00C2414C">
        <w:rPr>
          <w:rFonts w:asciiTheme="majorBidi" w:hAnsiTheme="majorBidi" w:cstheme="majorBidi"/>
          <w:i/>
          <w:iCs/>
          <w:sz w:val="22"/>
          <w:szCs w:val="22"/>
          <w:lang w:val="sq-AL"/>
        </w:rPr>
        <w:t>Numri i subjekteve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cilat do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inspektohen/auditohen n</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zbatim t</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 standarteve </w:t>
      </w:r>
      <w:r w:rsidRPr="00C2414C">
        <w:rPr>
          <w:rFonts w:asciiTheme="majorBidi" w:hAnsiTheme="majorBidi" w:cstheme="majorBidi"/>
          <w:i/>
          <w:iCs/>
          <w:sz w:val="22"/>
          <w:szCs w:val="22"/>
          <w:lang w:val="sq-AL"/>
        </w:rPr>
        <w:t>nd</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r</w:t>
      </w:r>
      <w:r w:rsidRPr="00C2414C">
        <w:rPr>
          <w:rFonts w:asciiTheme="majorBidi" w:hAnsiTheme="majorBidi" w:cstheme="majorBidi"/>
          <w:i/>
          <w:iCs/>
          <w:sz w:val="22"/>
          <w:szCs w:val="22"/>
          <w:lang w:val="sq-AL"/>
        </w:rPr>
        <w:t>komb</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tare, i planifikuar si num</w:t>
      </w:r>
      <w:r w:rsidR="00AC0133">
        <w:rPr>
          <w:rFonts w:asciiTheme="majorBidi" w:hAnsiTheme="majorBidi" w:cstheme="majorBidi"/>
          <w:i/>
          <w:iCs/>
          <w:sz w:val="22"/>
          <w:szCs w:val="22"/>
          <w:lang w:val="sq-AL"/>
        </w:rPr>
        <w:t>ë</w:t>
      </w:r>
      <w:r w:rsidRPr="00C2414C">
        <w:rPr>
          <w:rFonts w:asciiTheme="majorBidi" w:hAnsiTheme="majorBidi" w:cstheme="majorBidi"/>
          <w:i/>
          <w:iCs/>
          <w:sz w:val="22"/>
          <w:szCs w:val="22"/>
          <w:lang w:val="sq-AL"/>
        </w:rPr>
        <w:t xml:space="preserve">r </w:t>
      </w:r>
      <w:r w:rsidRPr="00C2414C">
        <w:rPr>
          <w:rFonts w:asciiTheme="majorBidi" w:hAnsiTheme="majorBidi" w:cstheme="majorBidi"/>
          <w:i/>
          <w:iCs/>
          <w:sz w:val="22"/>
          <w:szCs w:val="22"/>
          <w:lang w:val="sq-AL"/>
        </w:rPr>
        <w:t>20</w:t>
      </w:r>
      <w:r>
        <w:rPr>
          <w:rFonts w:asciiTheme="majorBidi" w:hAnsiTheme="majorBidi" w:cstheme="majorBidi"/>
          <w:lang w:val="sq-AL"/>
        </w:rPr>
        <w:t>.</w:t>
      </w:r>
    </w:p>
    <w:p w14:paraId="31FF1D4A" w14:textId="616D2A9B" w:rsidR="00596C76" w:rsidRDefault="006E1988" w:rsidP="00F45E37">
      <w:pPr>
        <w:tabs>
          <w:tab w:val="left" w:pos="2160"/>
        </w:tabs>
        <w:spacing w:line="360" w:lineRule="auto"/>
        <w:jc w:val="both"/>
        <w:rPr>
          <w:bCs/>
          <w:lang w:val="sq-AL"/>
        </w:rPr>
      </w:pPr>
      <w:r>
        <w:rPr>
          <w:rFonts w:asciiTheme="majorBidi" w:hAnsiTheme="majorBidi" w:cstheme="majorBidi"/>
          <w:lang w:val="sq-AL"/>
        </w:rPr>
        <w:t>Q</w:t>
      </w:r>
      <w:r w:rsidR="00AF5EE8">
        <w:rPr>
          <w:rFonts w:asciiTheme="majorBidi" w:hAnsiTheme="majorBidi" w:cstheme="majorBidi"/>
          <w:lang w:val="sq-AL"/>
        </w:rPr>
        <w:t>ë</w:t>
      </w:r>
      <w:r>
        <w:rPr>
          <w:rFonts w:asciiTheme="majorBidi" w:hAnsiTheme="majorBidi" w:cstheme="majorBidi"/>
          <w:lang w:val="sq-AL"/>
        </w:rPr>
        <w:t>llimi dhe objektivi i m</w:t>
      </w:r>
      <w:r w:rsidR="00AF5EE8">
        <w:rPr>
          <w:rFonts w:asciiTheme="majorBidi" w:hAnsiTheme="majorBidi" w:cstheme="majorBidi"/>
          <w:lang w:val="sq-AL"/>
        </w:rPr>
        <w:t>ë</w:t>
      </w:r>
      <w:r>
        <w:rPr>
          <w:rFonts w:asciiTheme="majorBidi" w:hAnsiTheme="majorBidi" w:cstheme="majorBidi"/>
          <w:lang w:val="sq-AL"/>
        </w:rPr>
        <w:t>sip</w:t>
      </w:r>
      <w:r w:rsidR="00AF5EE8">
        <w:rPr>
          <w:rFonts w:asciiTheme="majorBidi" w:hAnsiTheme="majorBidi" w:cstheme="majorBidi"/>
          <w:lang w:val="sq-AL"/>
        </w:rPr>
        <w:t>ë</w:t>
      </w:r>
      <w:r>
        <w:rPr>
          <w:rFonts w:asciiTheme="majorBidi" w:hAnsiTheme="majorBidi" w:cstheme="majorBidi"/>
          <w:lang w:val="sq-AL"/>
        </w:rPr>
        <w:t>rm synohet t</w:t>
      </w:r>
      <w:r w:rsidR="00AF5EE8">
        <w:rPr>
          <w:rFonts w:asciiTheme="majorBidi" w:hAnsiTheme="majorBidi" w:cstheme="majorBidi"/>
          <w:lang w:val="sq-AL"/>
        </w:rPr>
        <w:t>ë</w:t>
      </w:r>
      <w:r>
        <w:rPr>
          <w:rFonts w:asciiTheme="majorBidi" w:hAnsiTheme="majorBidi" w:cstheme="majorBidi"/>
          <w:lang w:val="sq-AL"/>
        </w:rPr>
        <w:t xml:space="preserve"> arrihen n</w:t>
      </w:r>
      <w:r w:rsidR="00AF5EE8">
        <w:rPr>
          <w:rFonts w:asciiTheme="majorBidi" w:hAnsiTheme="majorBidi" w:cstheme="majorBidi"/>
          <w:lang w:val="sq-AL"/>
        </w:rPr>
        <w:t>ë</w:t>
      </w:r>
      <w:r>
        <w:rPr>
          <w:rFonts w:asciiTheme="majorBidi" w:hAnsiTheme="majorBidi" w:cstheme="majorBidi"/>
          <w:lang w:val="sq-AL"/>
        </w:rPr>
        <w:t>p</w:t>
      </w:r>
      <w:r w:rsidR="00AF5EE8">
        <w:rPr>
          <w:rFonts w:asciiTheme="majorBidi" w:hAnsiTheme="majorBidi" w:cstheme="majorBidi"/>
          <w:lang w:val="sq-AL"/>
        </w:rPr>
        <w:t>ë</w:t>
      </w:r>
      <w:r>
        <w:rPr>
          <w:rFonts w:asciiTheme="majorBidi" w:hAnsiTheme="majorBidi" w:cstheme="majorBidi"/>
          <w:lang w:val="sq-AL"/>
        </w:rPr>
        <w:t>rmjet realizimit t</w:t>
      </w:r>
      <w:r w:rsidR="00AF5EE8">
        <w:rPr>
          <w:rFonts w:asciiTheme="majorBidi" w:hAnsiTheme="majorBidi" w:cstheme="majorBidi"/>
          <w:lang w:val="sq-AL"/>
        </w:rPr>
        <w:t>ë</w:t>
      </w:r>
      <w:r>
        <w:rPr>
          <w:rFonts w:asciiTheme="majorBidi" w:hAnsiTheme="majorBidi" w:cstheme="majorBidi"/>
          <w:lang w:val="sq-AL"/>
        </w:rPr>
        <w:t xml:space="preserve"> produktit “</w:t>
      </w:r>
      <w:r w:rsidR="00596C76" w:rsidRPr="0039549C">
        <w:rPr>
          <w:bCs/>
          <w:i/>
          <w:lang w:val="sq-AL"/>
        </w:rPr>
        <w:t>Seti i Standardeve Kombëtare të Kontabilitetit (ekzistuese/të reja/të amenduara)”</w:t>
      </w:r>
      <w:r w:rsidR="00F37586">
        <w:rPr>
          <w:bCs/>
          <w:lang w:val="sq-AL"/>
        </w:rPr>
        <w:t xml:space="preserve">, i cili </w:t>
      </w:r>
      <w:r w:rsidR="00AC0133">
        <w:rPr>
          <w:bCs/>
          <w:lang w:val="sq-AL"/>
        </w:rPr>
        <w:t>ë</w:t>
      </w:r>
      <w:r w:rsidR="00C2414C">
        <w:rPr>
          <w:bCs/>
          <w:lang w:val="sq-AL"/>
        </w:rPr>
        <w:t>sht</w:t>
      </w:r>
      <w:r w:rsidR="00AC0133">
        <w:rPr>
          <w:bCs/>
          <w:lang w:val="sq-AL"/>
        </w:rPr>
        <w:t>ë</w:t>
      </w:r>
      <w:r w:rsidR="00C2414C">
        <w:rPr>
          <w:bCs/>
          <w:lang w:val="sq-AL"/>
        </w:rPr>
        <w:t xml:space="preserve"> realizuar </w:t>
      </w:r>
      <w:r w:rsidR="00F37586">
        <w:rPr>
          <w:bCs/>
          <w:lang w:val="sq-AL"/>
        </w:rPr>
        <w:t>p</w:t>
      </w:r>
      <w:r w:rsidR="00F45E37">
        <w:rPr>
          <w:bCs/>
          <w:lang w:val="sq-AL"/>
        </w:rPr>
        <w:t>ë</w:t>
      </w:r>
      <w:r w:rsidR="00F37586">
        <w:rPr>
          <w:bCs/>
          <w:lang w:val="sq-AL"/>
        </w:rPr>
        <w:t>r 8 mujorin me nj</w:t>
      </w:r>
      <w:r w:rsidR="00F45E37">
        <w:rPr>
          <w:bCs/>
          <w:lang w:val="sq-AL"/>
        </w:rPr>
        <w:t>ë</w:t>
      </w:r>
      <w:r w:rsidR="00F37586">
        <w:rPr>
          <w:bCs/>
          <w:lang w:val="sq-AL"/>
        </w:rPr>
        <w:t xml:space="preserve"> kosto faktike prej 8 416 mij</w:t>
      </w:r>
      <w:r w:rsidR="00F45E37">
        <w:rPr>
          <w:bCs/>
          <w:lang w:val="sq-AL"/>
        </w:rPr>
        <w:t>ë</w:t>
      </w:r>
      <w:r w:rsidR="00F37586">
        <w:rPr>
          <w:bCs/>
          <w:lang w:val="sq-AL"/>
        </w:rPr>
        <w:t xml:space="preserve"> lek</w:t>
      </w:r>
      <w:r w:rsidR="00F45E37">
        <w:rPr>
          <w:bCs/>
          <w:lang w:val="sq-AL"/>
        </w:rPr>
        <w:t>ë</w:t>
      </w:r>
      <w:r w:rsidR="00F37586">
        <w:rPr>
          <w:bCs/>
          <w:lang w:val="sq-AL"/>
        </w:rPr>
        <w:t>.</w:t>
      </w:r>
    </w:p>
    <w:p w14:paraId="4BFB52C7" w14:textId="77777777" w:rsidR="00F45E37" w:rsidRDefault="00F45E37" w:rsidP="00F45E37">
      <w:pPr>
        <w:tabs>
          <w:tab w:val="left" w:pos="360"/>
        </w:tabs>
        <w:spacing w:line="276" w:lineRule="auto"/>
        <w:jc w:val="both"/>
        <w:rPr>
          <w:rFonts w:asciiTheme="majorBidi" w:hAnsiTheme="majorBidi" w:cstheme="majorBidi"/>
          <w:b/>
          <w:lang w:val="sq-AL"/>
        </w:rPr>
      </w:pPr>
    </w:p>
    <w:p w14:paraId="298D8E21" w14:textId="697F1952" w:rsidR="00410EC1" w:rsidRPr="006E1988" w:rsidRDefault="00342362" w:rsidP="00342362">
      <w:pPr>
        <w:tabs>
          <w:tab w:val="left" w:pos="360"/>
        </w:tabs>
        <w:spacing w:after="200" w:line="276" w:lineRule="auto"/>
        <w:jc w:val="both"/>
        <w:rPr>
          <w:rFonts w:asciiTheme="majorBidi" w:hAnsiTheme="majorBidi" w:cstheme="majorBidi"/>
          <w:b/>
          <w:lang w:val="sq-AL"/>
        </w:rPr>
      </w:pPr>
      <w:r w:rsidRPr="006E1988">
        <w:rPr>
          <w:rFonts w:asciiTheme="majorBidi" w:hAnsiTheme="majorBidi" w:cstheme="majorBidi"/>
          <w:b/>
          <w:lang w:val="sq-AL"/>
        </w:rPr>
        <w:t xml:space="preserve">II.    </w:t>
      </w:r>
      <w:r w:rsidR="00410EC1" w:rsidRPr="006E1988">
        <w:rPr>
          <w:rFonts w:asciiTheme="majorBidi" w:hAnsiTheme="majorBidi" w:cstheme="majorBidi"/>
          <w:b/>
          <w:lang w:val="sq-AL"/>
        </w:rPr>
        <w:t>Karakteristika kryesore të performancës së shpenzimeve</w:t>
      </w:r>
    </w:p>
    <w:p w14:paraId="25503B43" w14:textId="20DFE9F1" w:rsidR="00883C42" w:rsidRDefault="00410EC1" w:rsidP="00F45E37">
      <w:pPr>
        <w:tabs>
          <w:tab w:val="left" w:pos="2160"/>
        </w:tabs>
        <w:spacing w:line="360" w:lineRule="auto"/>
        <w:jc w:val="both"/>
        <w:rPr>
          <w:bCs/>
          <w:i/>
          <w:iCs/>
          <w:lang w:val="sq-AL"/>
        </w:rPr>
      </w:pPr>
      <w:r w:rsidRPr="006E1988">
        <w:rPr>
          <w:rFonts w:asciiTheme="majorBidi" w:hAnsiTheme="majorBidi" w:cstheme="majorBidi"/>
          <w:bCs/>
          <w:lang w:val="sq-AL"/>
        </w:rPr>
        <w:t xml:space="preserve">Në fund </w:t>
      </w:r>
      <w:r w:rsidR="00CD22C9" w:rsidRPr="006E1988">
        <w:rPr>
          <w:rFonts w:asciiTheme="majorBidi" w:hAnsiTheme="majorBidi" w:cstheme="majorBidi"/>
          <w:bCs/>
          <w:lang w:val="sq-AL"/>
        </w:rPr>
        <w:t>t</w:t>
      </w:r>
      <w:r w:rsidR="00694AF6" w:rsidRPr="006E1988">
        <w:rPr>
          <w:rFonts w:asciiTheme="majorBidi" w:hAnsiTheme="majorBidi" w:cstheme="majorBidi"/>
          <w:bCs/>
          <w:lang w:val="sq-AL"/>
        </w:rPr>
        <w:t>ë</w:t>
      </w:r>
      <w:r w:rsidR="00CD22C9" w:rsidRPr="006E1988">
        <w:rPr>
          <w:rFonts w:asciiTheme="majorBidi" w:hAnsiTheme="majorBidi" w:cstheme="majorBidi"/>
          <w:bCs/>
          <w:lang w:val="sq-AL"/>
        </w:rPr>
        <w:t xml:space="preserve"> </w:t>
      </w:r>
      <w:r w:rsidR="00F37586">
        <w:rPr>
          <w:rFonts w:asciiTheme="majorBidi" w:hAnsiTheme="majorBidi" w:cstheme="majorBidi"/>
          <w:bCs/>
          <w:lang w:val="sq-AL"/>
        </w:rPr>
        <w:t>8</w:t>
      </w:r>
      <w:r w:rsidR="00596C76">
        <w:rPr>
          <w:rFonts w:asciiTheme="majorBidi" w:hAnsiTheme="majorBidi" w:cstheme="majorBidi"/>
          <w:bCs/>
          <w:lang w:val="sq-AL"/>
        </w:rPr>
        <w:t xml:space="preserve"> Mujorit </w:t>
      </w:r>
      <w:r w:rsidR="00FE46CA" w:rsidRPr="006E1988">
        <w:rPr>
          <w:rFonts w:asciiTheme="majorBidi" w:hAnsiTheme="majorBidi" w:cstheme="majorBidi"/>
          <w:bCs/>
          <w:lang w:val="sq-AL"/>
        </w:rPr>
        <w:t>202</w:t>
      </w:r>
      <w:r w:rsidR="00596C76">
        <w:rPr>
          <w:rFonts w:asciiTheme="majorBidi" w:hAnsiTheme="majorBidi" w:cstheme="majorBidi"/>
          <w:bCs/>
          <w:lang w:val="sq-AL"/>
        </w:rPr>
        <w:t>4</w:t>
      </w:r>
      <w:r w:rsidRPr="006E1988">
        <w:rPr>
          <w:rFonts w:asciiTheme="majorBidi" w:hAnsiTheme="majorBidi" w:cstheme="majorBidi"/>
          <w:bCs/>
          <w:lang w:val="sq-AL"/>
        </w:rPr>
        <w:t xml:space="preserve">, situata në lidhje me realizimin e shpenzimeve të buxhetit, krahasuar me </w:t>
      </w:r>
      <w:r w:rsidR="00271FB4" w:rsidRPr="006E1988">
        <w:rPr>
          <w:rFonts w:asciiTheme="majorBidi" w:hAnsiTheme="majorBidi" w:cstheme="majorBidi"/>
          <w:bCs/>
          <w:lang w:val="sq-AL"/>
        </w:rPr>
        <w:t>faktin</w:t>
      </w:r>
      <w:r w:rsidRPr="006E1988">
        <w:rPr>
          <w:rFonts w:asciiTheme="majorBidi" w:hAnsiTheme="majorBidi" w:cstheme="majorBidi"/>
          <w:bCs/>
          <w:lang w:val="sq-AL"/>
        </w:rPr>
        <w:t>, paraqitet si më poshtë</w:t>
      </w:r>
      <w:r w:rsidR="0029364F" w:rsidRPr="006E1988">
        <w:rPr>
          <w:rFonts w:asciiTheme="majorBidi" w:hAnsiTheme="majorBidi" w:cstheme="majorBidi"/>
          <w:bCs/>
          <w:lang w:val="sq-AL"/>
        </w:rPr>
        <w:t xml:space="preserve">, </w:t>
      </w:r>
      <w:r w:rsidR="005D40BF" w:rsidRPr="006E1988">
        <w:rPr>
          <w:bCs/>
          <w:i/>
          <w:iCs/>
          <w:lang w:val="sq-AL"/>
        </w:rPr>
        <w:t>në mijë lekë</w:t>
      </w:r>
      <w:r w:rsidR="00602DFF" w:rsidRPr="006E1988">
        <w:rPr>
          <w:bCs/>
          <w:i/>
          <w:iCs/>
          <w:lang w:val="sq-AL"/>
        </w:rPr>
        <w:t>:</w:t>
      </w:r>
    </w:p>
    <w:tbl>
      <w:tblPr>
        <w:tblW w:w="7120" w:type="dxa"/>
        <w:jc w:val="center"/>
        <w:tblLook w:val="04A0" w:firstRow="1" w:lastRow="0" w:firstColumn="1" w:lastColumn="0" w:noHBand="0" w:noVBand="1"/>
      </w:tblPr>
      <w:tblGrid>
        <w:gridCol w:w="787"/>
        <w:gridCol w:w="3233"/>
        <w:gridCol w:w="960"/>
        <w:gridCol w:w="1027"/>
        <w:gridCol w:w="1113"/>
      </w:tblGrid>
      <w:tr w:rsidR="00883C42" w:rsidRPr="00883C42" w14:paraId="2565ED54" w14:textId="77777777" w:rsidTr="00596C76">
        <w:trPr>
          <w:trHeight w:val="525"/>
          <w:jc w:val="center"/>
        </w:trPr>
        <w:tc>
          <w:tcPr>
            <w:tcW w:w="787" w:type="dxa"/>
            <w:tcBorders>
              <w:top w:val="double" w:sz="6" w:space="0" w:color="auto"/>
              <w:left w:val="double" w:sz="6" w:space="0" w:color="auto"/>
              <w:bottom w:val="dotted" w:sz="4" w:space="0" w:color="auto"/>
              <w:right w:val="dotted" w:sz="4" w:space="0" w:color="auto"/>
            </w:tcBorders>
            <w:shd w:val="clear" w:color="000000" w:fill="DAEEF3"/>
            <w:vAlign w:val="center"/>
            <w:hideMark/>
          </w:tcPr>
          <w:p w14:paraId="11FE4DCA" w14:textId="77777777" w:rsidR="00883C42" w:rsidRPr="00883C42" w:rsidRDefault="00883C42" w:rsidP="00883C42">
            <w:pPr>
              <w:jc w:val="center"/>
              <w:rPr>
                <w:b/>
                <w:bCs/>
                <w:sz w:val="20"/>
                <w:szCs w:val="20"/>
                <w:lang w:val="sq-AL"/>
              </w:rPr>
            </w:pPr>
            <w:r w:rsidRPr="00883C42">
              <w:rPr>
                <w:b/>
                <w:bCs/>
                <w:sz w:val="20"/>
                <w:szCs w:val="20"/>
                <w:lang w:val="sq-AL"/>
              </w:rPr>
              <w:lastRenderedPageBreak/>
              <w:t>NR.</w:t>
            </w:r>
          </w:p>
        </w:tc>
        <w:tc>
          <w:tcPr>
            <w:tcW w:w="3233" w:type="dxa"/>
            <w:tcBorders>
              <w:top w:val="double" w:sz="6" w:space="0" w:color="auto"/>
              <w:left w:val="nil"/>
              <w:bottom w:val="dotted" w:sz="4" w:space="0" w:color="auto"/>
              <w:right w:val="dotted" w:sz="4" w:space="0" w:color="auto"/>
            </w:tcBorders>
            <w:shd w:val="clear" w:color="000000" w:fill="DAEEF3"/>
            <w:vAlign w:val="center"/>
            <w:hideMark/>
          </w:tcPr>
          <w:p w14:paraId="63FAE6B1" w14:textId="77777777" w:rsidR="00883C42" w:rsidRPr="00883C42" w:rsidRDefault="00883C42" w:rsidP="00883C42">
            <w:pPr>
              <w:jc w:val="center"/>
              <w:rPr>
                <w:b/>
                <w:bCs/>
                <w:sz w:val="20"/>
                <w:szCs w:val="20"/>
                <w:lang w:val="sq-AL"/>
              </w:rPr>
            </w:pPr>
            <w:r w:rsidRPr="00883C42">
              <w:rPr>
                <w:b/>
                <w:bCs/>
                <w:sz w:val="20"/>
                <w:szCs w:val="20"/>
                <w:lang w:val="sq-AL"/>
              </w:rPr>
              <w:t>Këshilli Kombëtar i Kontabilitetit</w:t>
            </w:r>
          </w:p>
        </w:tc>
        <w:tc>
          <w:tcPr>
            <w:tcW w:w="960" w:type="dxa"/>
            <w:tcBorders>
              <w:top w:val="double" w:sz="6" w:space="0" w:color="auto"/>
              <w:left w:val="nil"/>
              <w:bottom w:val="dotted" w:sz="4" w:space="0" w:color="auto"/>
              <w:right w:val="dotted" w:sz="4" w:space="0" w:color="auto"/>
            </w:tcBorders>
            <w:shd w:val="clear" w:color="000000" w:fill="DAEEF3"/>
            <w:vAlign w:val="center"/>
            <w:hideMark/>
          </w:tcPr>
          <w:p w14:paraId="2B7109DD" w14:textId="6F2C4751" w:rsidR="00883C42" w:rsidRPr="00883C42" w:rsidRDefault="00883C42" w:rsidP="00DF642E">
            <w:pPr>
              <w:jc w:val="center"/>
              <w:rPr>
                <w:b/>
                <w:bCs/>
                <w:sz w:val="20"/>
                <w:szCs w:val="20"/>
                <w:lang w:val="sq-AL"/>
              </w:rPr>
            </w:pPr>
            <w:r w:rsidRPr="00883C42">
              <w:rPr>
                <w:b/>
                <w:bCs/>
                <w:sz w:val="20"/>
                <w:szCs w:val="20"/>
                <w:lang w:val="sq-AL"/>
              </w:rPr>
              <w:t xml:space="preserve">Plani </w:t>
            </w:r>
            <w:r w:rsidR="00DF642E">
              <w:rPr>
                <w:b/>
                <w:bCs/>
                <w:sz w:val="20"/>
                <w:szCs w:val="20"/>
                <w:lang w:val="sq-AL"/>
              </w:rPr>
              <w:t>Vjetor</w:t>
            </w:r>
            <w:r w:rsidR="00596C76">
              <w:rPr>
                <w:b/>
                <w:bCs/>
                <w:sz w:val="20"/>
                <w:szCs w:val="20"/>
                <w:lang w:val="sq-AL"/>
              </w:rPr>
              <w:t xml:space="preserve"> 2024</w:t>
            </w:r>
          </w:p>
        </w:tc>
        <w:tc>
          <w:tcPr>
            <w:tcW w:w="1027" w:type="dxa"/>
            <w:tcBorders>
              <w:top w:val="double" w:sz="6" w:space="0" w:color="auto"/>
              <w:left w:val="nil"/>
              <w:bottom w:val="dotted" w:sz="4" w:space="0" w:color="auto"/>
              <w:right w:val="dotted" w:sz="4" w:space="0" w:color="auto"/>
            </w:tcBorders>
            <w:shd w:val="clear" w:color="000000" w:fill="DAEEF3"/>
            <w:vAlign w:val="center"/>
            <w:hideMark/>
          </w:tcPr>
          <w:p w14:paraId="7A13F7CD" w14:textId="77777777" w:rsidR="00F37586" w:rsidRDefault="00883C42" w:rsidP="00CD22C9">
            <w:pPr>
              <w:jc w:val="center"/>
              <w:rPr>
                <w:b/>
                <w:bCs/>
                <w:sz w:val="20"/>
                <w:szCs w:val="20"/>
                <w:lang w:val="sq-AL"/>
              </w:rPr>
            </w:pPr>
            <w:r w:rsidRPr="00883C42">
              <w:rPr>
                <w:b/>
                <w:bCs/>
                <w:sz w:val="20"/>
                <w:szCs w:val="20"/>
                <w:lang w:val="sq-AL"/>
              </w:rPr>
              <w:t>Fakti</w:t>
            </w:r>
            <w:r w:rsidR="00CD22C9">
              <w:rPr>
                <w:b/>
                <w:bCs/>
                <w:sz w:val="20"/>
                <w:szCs w:val="20"/>
                <w:lang w:val="sq-AL"/>
              </w:rPr>
              <w:t xml:space="preserve"> </w:t>
            </w:r>
            <w:r w:rsidR="00F37586">
              <w:rPr>
                <w:b/>
                <w:bCs/>
                <w:sz w:val="20"/>
                <w:szCs w:val="20"/>
                <w:lang w:val="sq-AL"/>
              </w:rPr>
              <w:t>8</w:t>
            </w:r>
            <w:r w:rsidR="00596C76">
              <w:rPr>
                <w:b/>
                <w:bCs/>
                <w:sz w:val="20"/>
                <w:szCs w:val="20"/>
                <w:lang w:val="sq-AL"/>
              </w:rPr>
              <w:t xml:space="preserve">/Mujori </w:t>
            </w:r>
          </w:p>
          <w:p w14:paraId="2A943CE7" w14:textId="3F996066" w:rsidR="00883C42" w:rsidRPr="00883C42" w:rsidRDefault="00FF4497" w:rsidP="00CD22C9">
            <w:pPr>
              <w:jc w:val="center"/>
              <w:rPr>
                <w:b/>
                <w:bCs/>
                <w:sz w:val="20"/>
                <w:szCs w:val="20"/>
                <w:lang w:val="sq-AL"/>
              </w:rPr>
            </w:pPr>
            <w:r>
              <w:rPr>
                <w:b/>
                <w:bCs/>
                <w:sz w:val="20"/>
                <w:szCs w:val="20"/>
                <w:lang w:val="sq-AL"/>
              </w:rPr>
              <w:t xml:space="preserve"> </w:t>
            </w:r>
            <w:r w:rsidR="002C4AD4">
              <w:rPr>
                <w:b/>
                <w:bCs/>
                <w:sz w:val="20"/>
                <w:szCs w:val="20"/>
                <w:lang w:val="sq-AL"/>
              </w:rPr>
              <w:t>202</w:t>
            </w:r>
            <w:r w:rsidR="00596C76">
              <w:rPr>
                <w:b/>
                <w:bCs/>
                <w:sz w:val="20"/>
                <w:szCs w:val="20"/>
                <w:lang w:val="sq-AL"/>
              </w:rPr>
              <w:t>4</w:t>
            </w:r>
          </w:p>
        </w:tc>
        <w:tc>
          <w:tcPr>
            <w:tcW w:w="1113" w:type="dxa"/>
            <w:tcBorders>
              <w:top w:val="double" w:sz="6" w:space="0" w:color="auto"/>
              <w:left w:val="nil"/>
              <w:bottom w:val="dotted" w:sz="4" w:space="0" w:color="auto"/>
              <w:right w:val="double" w:sz="6" w:space="0" w:color="auto"/>
            </w:tcBorders>
            <w:shd w:val="clear" w:color="000000" w:fill="DAEEF3"/>
            <w:vAlign w:val="center"/>
            <w:hideMark/>
          </w:tcPr>
          <w:p w14:paraId="13F126B0" w14:textId="77777777" w:rsidR="00883C42" w:rsidRPr="00883C42" w:rsidRDefault="00883C42" w:rsidP="00883C42">
            <w:pPr>
              <w:jc w:val="center"/>
              <w:rPr>
                <w:b/>
                <w:bCs/>
                <w:sz w:val="20"/>
                <w:szCs w:val="20"/>
                <w:lang w:val="sq-AL"/>
              </w:rPr>
            </w:pPr>
            <w:r w:rsidRPr="00883C42">
              <w:rPr>
                <w:b/>
                <w:bCs/>
                <w:sz w:val="20"/>
                <w:szCs w:val="20"/>
                <w:lang w:val="sq-AL"/>
              </w:rPr>
              <w:t>Përqindja  e realizimit</w:t>
            </w:r>
          </w:p>
        </w:tc>
      </w:tr>
      <w:tr w:rsidR="00986709" w:rsidRPr="00986709" w14:paraId="1FE743E6" w14:textId="77777777" w:rsidTr="00BF76F9">
        <w:trPr>
          <w:trHeight w:val="315"/>
          <w:jc w:val="center"/>
        </w:trPr>
        <w:tc>
          <w:tcPr>
            <w:tcW w:w="787" w:type="dxa"/>
            <w:tcBorders>
              <w:top w:val="dotted" w:sz="4" w:space="0" w:color="auto"/>
              <w:left w:val="double" w:sz="6" w:space="0" w:color="auto"/>
              <w:bottom w:val="dotted" w:sz="4" w:space="0" w:color="auto"/>
              <w:right w:val="dotted" w:sz="4" w:space="0" w:color="auto"/>
            </w:tcBorders>
            <w:shd w:val="clear" w:color="auto" w:fill="auto"/>
            <w:vAlign w:val="center"/>
            <w:hideMark/>
          </w:tcPr>
          <w:p w14:paraId="524E7C9E" w14:textId="77777777" w:rsidR="00986709" w:rsidRPr="00883C42" w:rsidRDefault="00986709" w:rsidP="00986709">
            <w:pPr>
              <w:jc w:val="center"/>
              <w:rPr>
                <w:lang w:val="sq-AL"/>
              </w:rPr>
            </w:pPr>
            <w:r w:rsidRPr="00883C42">
              <w:rPr>
                <w:sz w:val="22"/>
                <w:szCs w:val="22"/>
                <w:lang w:val="sq-AL"/>
              </w:rPr>
              <w:t>1</w:t>
            </w:r>
          </w:p>
        </w:tc>
        <w:tc>
          <w:tcPr>
            <w:tcW w:w="3233" w:type="dxa"/>
            <w:tcBorders>
              <w:top w:val="dotted" w:sz="4" w:space="0" w:color="auto"/>
              <w:left w:val="nil"/>
              <w:bottom w:val="dotted" w:sz="4" w:space="0" w:color="auto"/>
              <w:right w:val="dotted" w:sz="4" w:space="0" w:color="auto"/>
            </w:tcBorders>
            <w:shd w:val="clear" w:color="auto" w:fill="auto"/>
            <w:vAlign w:val="center"/>
            <w:hideMark/>
          </w:tcPr>
          <w:p w14:paraId="280F8FB8" w14:textId="6E8E922D" w:rsidR="00986709" w:rsidRPr="00883C42" w:rsidRDefault="00986709" w:rsidP="00986709">
            <w:pPr>
              <w:rPr>
                <w:lang w:val="sq-AL"/>
              </w:rPr>
            </w:pPr>
            <w:r w:rsidRPr="00883C42">
              <w:rPr>
                <w:lang w:val="sq-AL"/>
              </w:rPr>
              <w:t>Shpenzime p</w:t>
            </w:r>
            <w:r>
              <w:rPr>
                <w:lang w:val="sq-AL"/>
              </w:rPr>
              <w:t>er paga</w:t>
            </w:r>
          </w:p>
        </w:tc>
        <w:tc>
          <w:tcPr>
            <w:tcW w:w="960" w:type="dxa"/>
            <w:tcBorders>
              <w:top w:val="dotted" w:sz="4" w:space="0" w:color="auto"/>
              <w:left w:val="nil"/>
              <w:bottom w:val="dotted" w:sz="4" w:space="0" w:color="auto"/>
              <w:right w:val="dotted" w:sz="4" w:space="0" w:color="auto"/>
            </w:tcBorders>
            <w:shd w:val="clear" w:color="auto" w:fill="auto"/>
            <w:noWrap/>
            <w:vAlign w:val="bottom"/>
          </w:tcPr>
          <w:p w14:paraId="780942E8" w14:textId="2518631D" w:rsidR="00986709" w:rsidRPr="00986709" w:rsidRDefault="00596C76" w:rsidP="00596C76">
            <w:pPr>
              <w:jc w:val="both"/>
              <w:rPr>
                <w:lang w:val="sq-AL"/>
              </w:rPr>
            </w:pPr>
            <w:r>
              <w:rPr>
                <w:lang w:val="sq-AL"/>
              </w:rPr>
              <w:t>10 8</w:t>
            </w:r>
            <w:r w:rsidR="00F37586">
              <w:rPr>
                <w:lang w:val="sq-AL"/>
              </w:rPr>
              <w:t>56</w:t>
            </w:r>
          </w:p>
        </w:tc>
        <w:tc>
          <w:tcPr>
            <w:tcW w:w="102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658BFE9" w14:textId="173C0378" w:rsidR="00986709" w:rsidRPr="00986709" w:rsidRDefault="00F37586" w:rsidP="00596C76">
            <w:pPr>
              <w:jc w:val="both"/>
              <w:rPr>
                <w:lang w:val="sq-AL"/>
              </w:rPr>
            </w:pPr>
            <w:r>
              <w:rPr>
                <w:lang w:val="sq-AL"/>
              </w:rPr>
              <w:t xml:space="preserve">  5 564</w:t>
            </w:r>
          </w:p>
        </w:tc>
        <w:tc>
          <w:tcPr>
            <w:tcW w:w="1113" w:type="dxa"/>
            <w:tcBorders>
              <w:top w:val="dotted" w:sz="4" w:space="0" w:color="auto"/>
              <w:left w:val="dotted" w:sz="4" w:space="0" w:color="auto"/>
              <w:bottom w:val="dotted" w:sz="4" w:space="0" w:color="auto"/>
              <w:right w:val="double" w:sz="6" w:space="0" w:color="000000"/>
            </w:tcBorders>
            <w:shd w:val="clear" w:color="000000" w:fill="FFFFFF"/>
            <w:vAlign w:val="center"/>
          </w:tcPr>
          <w:p w14:paraId="65C70A69" w14:textId="54E2D426" w:rsidR="00986709" w:rsidRPr="00986709" w:rsidRDefault="001526FC" w:rsidP="00596C76">
            <w:pPr>
              <w:jc w:val="both"/>
              <w:rPr>
                <w:lang w:val="sq-AL"/>
              </w:rPr>
            </w:pPr>
            <w:r>
              <w:rPr>
                <w:lang w:val="sq-AL"/>
              </w:rPr>
              <w:t xml:space="preserve">   61</w:t>
            </w:r>
            <w:r w:rsidR="00596C76">
              <w:rPr>
                <w:lang w:val="sq-AL"/>
              </w:rPr>
              <w:t>%</w:t>
            </w:r>
          </w:p>
        </w:tc>
      </w:tr>
      <w:tr w:rsidR="00986709" w:rsidRPr="00986709" w14:paraId="73204309" w14:textId="77777777" w:rsidTr="00BF76F9">
        <w:trPr>
          <w:trHeight w:val="315"/>
          <w:jc w:val="center"/>
        </w:trPr>
        <w:tc>
          <w:tcPr>
            <w:tcW w:w="787" w:type="dxa"/>
            <w:tcBorders>
              <w:top w:val="dotted" w:sz="4" w:space="0" w:color="auto"/>
              <w:left w:val="double" w:sz="6" w:space="0" w:color="auto"/>
              <w:bottom w:val="dotted" w:sz="4" w:space="0" w:color="auto"/>
              <w:right w:val="dotted" w:sz="4" w:space="0" w:color="auto"/>
            </w:tcBorders>
            <w:shd w:val="clear" w:color="auto" w:fill="auto"/>
            <w:vAlign w:val="center"/>
          </w:tcPr>
          <w:p w14:paraId="71147EFB" w14:textId="77777777" w:rsidR="00986709" w:rsidRPr="00883C42" w:rsidRDefault="00986709" w:rsidP="00986709">
            <w:pPr>
              <w:jc w:val="center"/>
              <w:rPr>
                <w:sz w:val="22"/>
                <w:szCs w:val="22"/>
                <w:lang w:val="sq-AL"/>
              </w:rPr>
            </w:pPr>
          </w:p>
        </w:tc>
        <w:tc>
          <w:tcPr>
            <w:tcW w:w="3233" w:type="dxa"/>
            <w:tcBorders>
              <w:top w:val="dotted" w:sz="4" w:space="0" w:color="auto"/>
              <w:left w:val="nil"/>
              <w:bottom w:val="dotted" w:sz="4" w:space="0" w:color="auto"/>
              <w:right w:val="dotted" w:sz="4" w:space="0" w:color="auto"/>
            </w:tcBorders>
            <w:shd w:val="clear" w:color="auto" w:fill="auto"/>
            <w:vAlign w:val="center"/>
          </w:tcPr>
          <w:p w14:paraId="3A585B5F" w14:textId="256F404F" w:rsidR="00986709" w:rsidRPr="00883C42" w:rsidRDefault="00986709" w:rsidP="00986709">
            <w:pPr>
              <w:rPr>
                <w:lang w:val="sq-AL"/>
              </w:rPr>
            </w:pPr>
            <w:r>
              <w:rPr>
                <w:lang w:val="sq-AL"/>
              </w:rPr>
              <w:t>Shpenzime per Sig Shoqerore</w:t>
            </w:r>
          </w:p>
        </w:tc>
        <w:tc>
          <w:tcPr>
            <w:tcW w:w="960" w:type="dxa"/>
            <w:tcBorders>
              <w:top w:val="dotted" w:sz="4" w:space="0" w:color="auto"/>
              <w:left w:val="nil"/>
              <w:bottom w:val="dotted" w:sz="4" w:space="0" w:color="auto"/>
              <w:right w:val="dotted" w:sz="4" w:space="0" w:color="auto"/>
            </w:tcBorders>
            <w:shd w:val="clear" w:color="auto" w:fill="auto"/>
            <w:noWrap/>
            <w:vAlign w:val="bottom"/>
          </w:tcPr>
          <w:p w14:paraId="6AB60C79" w14:textId="77AF9A5A" w:rsidR="00986709" w:rsidRPr="00986709" w:rsidRDefault="00F37586" w:rsidP="00596C76">
            <w:pPr>
              <w:jc w:val="both"/>
              <w:rPr>
                <w:lang w:val="sq-AL"/>
              </w:rPr>
            </w:pPr>
            <w:r>
              <w:rPr>
                <w:lang w:val="sq-AL"/>
              </w:rPr>
              <w:t xml:space="preserve">  </w:t>
            </w:r>
            <w:r w:rsidR="00596C76">
              <w:rPr>
                <w:lang w:val="sq-AL"/>
              </w:rPr>
              <w:t>1 7</w:t>
            </w:r>
            <w:r>
              <w:rPr>
                <w:lang w:val="sq-AL"/>
              </w:rPr>
              <w:t>70</w:t>
            </w:r>
          </w:p>
        </w:tc>
        <w:tc>
          <w:tcPr>
            <w:tcW w:w="102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5096A4D" w14:textId="5097E344" w:rsidR="00986709" w:rsidRPr="00986709" w:rsidRDefault="00F37586" w:rsidP="00596C76">
            <w:pPr>
              <w:jc w:val="both"/>
              <w:rPr>
                <w:lang w:val="sq-AL"/>
              </w:rPr>
            </w:pPr>
            <w:r>
              <w:rPr>
                <w:lang w:val="sq-AL"/>
              </w:rPr>
              <w:t xml:space="preserve">  1 070</w:t>
            </w:r>
          </w:p>
        </w:tc>
        <w:tc>
          <w:tcPr>
            <w:tcW w:w="1113" w:type="dxa"/>
            <w:tcBorders>
              <w:top w:val="dotted" w:sz="4" w:space="0" w:color="auto"/>
              <w:left w:val="dotted" w:sz="4" w:space="0" w:color="auto"/>
              <w:bottom w:val="dotted" w:sz="4" w:space="0" w:color="auto"/>
              <w:right w:val="double" w:sz="6" w:space="0" w:color="000000"/>
            </w:tcBorders>
            <w:shd w:val="clear" w:color="000000" w:fill="FFFFFF"/>
            <w:vAlign w:val="center"/>
          </w:tcPr>
          <w:p w14:paraId="353FFED7" w14:textId="4EF0AF6A" w:rsidR="00986709" w:rsidRPr="00986709" w:rsidRDefault="001526FC" w:rsidP="00596C76">
            <w:pPr>
              <w:jc w:val="both"/>
              <w:rPr>
                <w:lang w:val="sq-AL"/>
              </w:rPr>
            </w:pPr>
            <w:r>
              <w:rPr>
                <w:lang w:val="sq-AL"/>
              </w:rPr>
              <w:t xml:space="preserve">   60</w:t>
            </w:r>
            <w:r w:rsidR="00596C76">
              <w:rPr>
                <w:lang w:val="sq-AL"/>
              </w:rPr>
              <w:t>%</w:t>
            </w:r>
          </w:p>
        </w:tc>
      </w:tr>
      <w:tr w:rsidR="00986709" w:rsidRPr="00986709" w14:paraId="7EB3987C" w14:textId="77777777" w:rsidTr="00BF76F9">
        <w:trPr>
          <w:trHeight w:val="315"/>
          <w:jc w:val="center"/>
        </w:trPr>
        <w:tc>
          <w:tcPr>
            <w:tcW w:w="787" w:type="dxa"/>
            <w:tcBorders>
              <w:top w:val="dotted" w:sz="4" w:space="0" w:color="auto"/>
              <w:left w:val="double" w:sz="6" w:space="0" w:color="auto"/>
              <w:bottom w:val="dotted" w:sz="4" w:space="0" w:color="auto"/>
              <w:right w:val="dotted" w:sz="4" w:space="0" w:color="auto"/>
            </w:tcBorders>
            <w:shd w:val="clear" w:color="auto" w:fill="auto"/>
            <w:vAlign w:val="center"/>
            <w:hideMark/>
          </w:tcPr>
          <w:p w14:paraId="06249BA9" w14:textId="77777777" w:rsidR="00986709" w:rsidRPr="00883C42" w:rsidRDefault="00986709" w:rsidP="00986709">
            <w:pPr>
              <w:jc w:val="center"/>
              <w:rPr>
                <w:lang w:val="sq-AL"/>
              </w:rPr>
            </w:pPr>
            <w:r w:rsidRPr="00883C42">
              <w:rPr>
                <w:sz w:val="22"/>
                <w:szCs w:val="22"/>
                <w:lang w:val="sq-AL"/>
              </w:rPr>
              <w:t>2</w:t>
            </w:r>
          </w:p>
        </w:tc>
        <w:tc>
          <w:tcPr>
            <w:tcW w:w="3233" w:type="dxa"/>
            <w:tcBorders>
              <w:top w:val="dotted" w:sz="4" w:space="0" w:color="auto"/>
              <w:left w:val="nil"/>
              <w:bottom w:val="dotted" w:sz="4" w:space="0" w:color="auto"/>
              <w:right w:val="dotted" w:sz="4" w:space="0" w:color="auto"/>
            </w:tcBorders>
            <w:shd w:val="clear" w:color="auto" w:fill="auto"/>
            <w:vAlign w:val="center"/>
            <w:hideMark/>
          </w:tcPr>
          <w:p w14:paraId="45745259" w14:textId="77777777" w:rsidR="00986709" w:rsidRPr="00883C42" w:rsidRDefault="00986709" w:rsidP="00986709">
            <w:pPr>
              <w:rPr>
                <w:lang w:val="sq-AL"/>
              </w:rPr>
            </w:pPr>
            <w:r w:rsidRPr="00883C42">
              <w:rPr>
                <w:lang w:val="sq-AL"/>
              </w:rPr>
              <w:t>Shpenzime të tjera korente</w:t>
            </w:r>
          </w:p>
        </w:tc>
        <w:tc>
          <w:tcPr>
            <w:tcW w:w="960" w:type="dxa"/>
            <w:tcBorders>
              <w:top w:val="dotted" w:sz="4" w:space="0" w:color="auto"/>
              <w:left w:val="nil"/>
              <w:bottom w:val="dotted" w:sz="4" w:space="0" w:color="auto"/>
              <w:right w:val="dotted" w:sz="4" w:space="0" w:color="auto"/>
            </w:tcBorders>
            <w:shd w:val="clear" w:color="auto" w:fill="auto"/>
            <w:noWrap/>
            <w:vAlign w:val="bottom"/>
          </w:tcPr>
          <w:p w14:paraId="1A8803C4" w14:textId="64864DC9" w:rsidR="00986709" w:rsidRPr="00986709" w:rsidRDefault="00F37586" w:rsidP="00596C76">
            <w:pPr>
              <w:jc w:val="both"/>
              <w:rPr>
                <w:lang w:val="sq-AL"/>
              </w:rPr>
            </w:pPr>
            <w:r>
              <w:rPr>
                <w:lang w:val="sq-AL"/>
              </w:rPr>
              <w:t xml:space="preserve">  </w:t>
            </w:r>
            <w:r w:rsidR="00596C76">
              <w:rPr>
                <w:lang w:val="sq-AL"/>
              </w:rPr>
              <w:t>4 940</w:t>
            </w:r>
          </w:p>
        </w:tc>
        <w:tc>
          <w:tcPr>
            <w:tcW w:w="102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F052B1A" w14:textId="13C55045" w:rsidR="00986709" w:rsidRPr="00986709" w:rsidRDefault="001526FC" w:rsidP="00596C76">
            <w:pPr>
              <w:jc w:val="both"/>
              <w:rPr>
                <w:lang w:val="sq-AL"/>
              </w:rPr>
            </w:pPr>
            <w:r>
              <w:rPr>
                <w:lang w:val="sq-AL"/>
              </w:rPr>
              <w:t xml:space="preserve">     782</w:t>
            </w:r>
          </w:p>
        </w:tc>
        <w:tc>
          <w:tcPr>
            <w:tcW w:w="1113" w:type="dxa"/>
            <w:tcBorders>
              <w:top w:val="dotted" w:sz="4" w:space="0" w:color="auto"/>
              <w:left w:val="dotted" w:sz="4" w:space="0" w:color="auto"/>
              <w:bottom w:val="dotted" w:sz="4" w:space="0" w:color="auto"/>
              <w:right w:val="double" w:sz="6" w:space="0" w:color="000000"/>
            </w:tcBorders>
            <w:shd w:val="clear" w:color="000000" w:fill="FFFFFF"/>
            <w:vAlign w:val="center"/>
          </w:tcPr>
          <w:p w14:paraId="3453676D" w14:textId="018614DE" w:rsidR="00986709" w:rsidRPr="00986709" w:rsidRDefault="001526FC" w:rsidP="00596C76">
            <w:pPr>
              <w:jc w:val="both"/>
              <w:rPr>
                <w:lang w:val="sq-AL"/>
              </w:rPr>
            </w:pPr>
            <w:r>
              <w:rPr>
                <w:lang w:val="sq-AL"/>
              </w:rPr>
              <w:t xml:space="preserve">   37</w:t>
            </w:r>
            <w:r w:rsidR="00596C76">
              <w:rPr>
                <w:lang w:val="sq-AL"/>
              </w:rPr>
              <w:t>%</w:t>
            </w:r>
          </w:p>
        </w:tc>
      </w:tr>
      <w:tr w:rsidR="00986709" w:rsidRPr="00986709" w14:paraId="1CC96321" w14:textId="77777777" w:rsidTr="00BF76F9">
        <w:trPr>
          <w:trHeight w:val="300"/>
          <w:jc w:val="center"/>
        </w:trPr>
        <w:tc>
          <w:tcPr>
            <w:tcW w:w="4020" w:type="dxa"/>
            <w:gridSpan w:val="2"/>
            <w:tcBorders>
              <w:top w:val="dotted" w:sz="4" w:space="0" w:color="auto"/>
              <w:left w:val="double" w:sz="6" w:space="0" w:color="auto"/>
              <w:bottom w:val="dotted" w:sz="4" w:space="0" w:color="auto"/>
              <w:right w:val="dotted" w:sz="4" w:space="0" w:color="000000"/>
            </w:tcBorders>
            <w:shd w:val="clear" w:color="auto" w:fill="auto"/>
            <w:vAlign w:val="center"/>
            <w:hideMark/>
          </w:tcPr>
          <w:p w14:paraId="4AEDCFB9" w14:textId="6325463A" w:rsidR="00986709" w:rsidRPr="00BB2DCC" w:rsidRDefault="00BB2DCC" w:rsidP="00986709">
            <w:pPr>
              <w:jc w:val="center"/>
              <w:rPr>
                <w:i/>
                <w:iCs/>
                <w:lang w:val="sq-AL"/>
              </w:rPr>
            </w:pPr>
            <w:r w:rsidRPr="00BB2DCC">
              <w:rPr>
                <w:i/>
                <w:iCs/>
                <w:lang w:val="sq-AL"/>
              </w:rPr>
              <w:t>T</w:t>
            </w:r>
            <w:r w:rsidR="00986709" w:rsidRPr="00BB2DCC">
              <w:rPr>
                <w:i/>
                <w:iCs/>
                <w:lang w:val="sq-AL"/>
              </w:rPr>
              <w:t>otal korente</w:t>
            </w:r>
          </w:p>
        </w:tc>
        <w:tc>
          <w:tcPr>
            <w:tcW w:w="960" w:type="dxa"/>
            <w:tcBorders>
              <w:top w:val="dotted" w:sz="4" w:space="0" w:color="auto"/>
              <w:left w:val="nil"/>
              <w:bottom w:val="dotted" w:sz="4" w:space="0" w:color="auto"/>
              <w:right w:val="dotted" w:sz="4" w:space="0" w:color="auto"/>
            </w:tcBorders>
            <w:shd w:val="clear" w:color="auto" w:fill="auto"/>
            <w:noWrap/>
            <w:vAlign w:val="bottom"/>
          </w:tcPr>
          <w:p w14:paraId="2046BDA8" w14:textId="41A3C304" w:rsidR="00986709" w:rsidRPr="00986709" w:rsidRDefault="00596C76" w:rsidP="00596C76">
            <w:pPr>
              <w:jc w:val="both"/>
              <w:rPr>
                <w:lang w:val="sq-AL"/>
              </w:rPr>
            </w:pPr>
            <w:r>
              <w:rPr>
                <w:lang w:val="sq-AL"/>
              </w:rPr>
              <w:t>17 5</w:t>
            </w:r>
            <w:r w:rsidR="00F37586">
              <w:rPr>
                <w:lang w:val="sq-AL"/>
              </w:rPr>
              <w:t>67</w:t>
            </w:r>
          </w:p>
        </w:tc>
        <w:tc>
          <w:tcPr>
            <w:tcW w:w="1027"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4E69A84" w14:textId="772A0D4D" w:rsidR="00986709" w:rsidRPr="00986709" w:rsidRDefault="001526FC" w:rsidP="00596C76">
            <w:pPr>
              <w:jc w:val="both"/>
              <w:rPr>
                <w:lang w:val="sq-AL"/>
              </w:rPr>
            </w:pPr>
            <w:r>
              <w:rPr>
                <w:lang w:val="sq-AL"/>
              </w:rPr>
              <w:t xml:space="preserve">  8 416</w:t>
            </w:r>
          </w:p>
        </w:tc>
        <w:tc>
          <w:tcPr>
            <w:tcW w:w="1113" w:type="dxa"/>
            <w:tcBorders>
              <w:top w:val="dotted" w:sz="4" w:space="0" w:color="auto"/>
              <w:left w:val="dotted" w:sz="4" w:space="0" w:color="auto"/>
              <w:bottom w:val="dotted" w:sz="4" w:space="0" w:color="auto"/>
              <w:right w:val="double" w:sz="6" w:space="0" w:color="000000"/>
            </w:tcBorders>
            <w:shd w:val="clear" w:color="000000" w:fill="FFFFFF"/>
            <w:vAlign w:val="center"/>
          </w:tcPr>
          <w:p w14:paraId="2DC2948B" w14:textId="39C52B7E" w:rsidR="00986709" w:rsidRPr="00986709" w:rsidRDefault="001526FC" w:rsidP="00596C76">
            <w:pPr>
              <w:jc w:val="both"/>
              <w:rPr>
                <w:lang w:val="sq-AL"/>
              </w:rPr>
            </w:pPr>
            <w:r>
              <w:rPr>
                <w:lang w:val="sq-AL"/>
              </w:rPr>
              <w:t xml:space="preserve">   48</w:t>
            </w:r>
            <w:r w:rsidR="00596C76">
              <w:rPr>
                <w:lang w:val="sq-AL"/>
              </w:rPr>
              <w:t>%</w:t>
            </w:r>
          </w:p>
        </w:tc>
      </w:tr>
      <w:tr w:rsidR="00986709" w:rsidRPr="00BF76F9" w14:paraId="043D1384" w14:textId="77777777" w:rsidTr="00BF76F9">
        <w:trPr>
          <w:trHeight w:val="530"/>
          <w:jc w:val="center"/>
        </w:trPr>
        <w:tc>
          <w:tcPr>
            <w:tcW w:w="787" w:type="dxa"/>
            <w:tcBorders>
              <w:top w:val="nil"/>
              <w:left w:val="double" w:sz="6" w:space="0" w:color="auto"/>
              <w:bottom w:val="dotted" w:sz="4" w:space="0" w:color="auto"/>
              <w:right w:val="dotted" w:sz="4" w:space="0" w:color="auto"/>
            </w:tcBorders>
            <w:shd w:val="clear" w:color="auto" w:fill="auto"/>
            <w:vAlign w:val="center"/>
            <w:hideMark/>
          </w:tcPr>
          <w:p w14:paraId="74EC992A" w14:textId="77777777" w:rsidR="00986709" w:rsidRPr="00883C42" w:rsidRDefault="00986709" w:rsidP="00986709">
            <w:pPr>
              <w:jc w:val="center"/>
              <w:rPr>
                <w:lang w:val="sq-AL"/>
              </w:rPr>
            </w:pPr>
            <w:r w:rsidRPr="00883C42">
              <w:rPr>
                <w:sz w:val="22"/>
                <w:szCs w:val="22"/>
                <w:lang w:val="sq-AL"/>
              </w:rPr>
              <w:t>3</w:t>
            </w:r>
          </w:p>
        </w:tc>
        <w:tc>
          <w:tcPr>
            <w:tcW w:w="3233" w:type="dxa"/>
            <w:tcBorders>
              <w:top w:val="nil"/>
              <w:left w:val="nil"/>
              <w:bottom w:val="dotted" w:sz="4" w:space="0" w:color="auto"/>
              <w:right w:val="dotted" w:sz="4" w:space="0" w:color="auto"/>
            </w:tcBorders>
            <w:shd w:val="clear" w:color="auto" w:fill="auto"/>
            <w:vAlign w:val="center"/>
            <w:hideMark/>
          </w:tcPr>
          <w:p w14:paraId="33BCD898" w14:textId="77777777" w:rsidR="00986709" w:rsidRPr="00883C42" w:rsidRDefault="00986709" w:rsidP="00986709">
            <w:pPr>
              <w:rPr>
                <w:i/>
                <w:iCs/>
                <w:lang w:val="sq-AL"/>
              </w:rPr>
            </w:pPr>
            <w:r w:rsidRPr="00883C42">
              <w:rPr>
                <w:i/>
                <w:iCs/>
                <w:lang w:val="sq-AL"/>
              </w:rPr>
              <w:t>Shpenzime kapitale</w:t>
            </w:r>
          </w:p>
        </w:tc>
        <w:tc>
          <w:tcPr>
            <w:tcW w:w="960" w:type="dxa"/>
            <w:tcBorders>
              <w:top w:val="nil"/>
              <w:left w:val="nil"/>
              <w:bottom w:val="dotted" w:sz="4" w:space="0" w:color="auto"/>
              <w:right w:val="dotted" w:sz="4" w:space="0" w:color="auto"/>
            </w:tcBorders>
            <w:shd w:val="clear" w:color="auto" w:fill="auto"/>
            <w:noWrap/>
          </w:tcPr>
          <w:p w14:paraId="6ECE0E44" w14:textId="630D6945" w:rsidR="00986709" w:rsidRPr="00986709" w:rsidRDefault="00F37586" w:rsidP="00596C76">
            <w:pPr>
              <w:jc w:val="both"/>
              <w:rPr>
                <w:lang w:val="sq-AL"/>
              </w:rPr>
            </w:pPr>
            <w:r>
              <w:rPr>
                <w:lang w:val="sq-AL"/>
              </w:rPr>
              <w:t xml:space="preserve">  </w:t>
            </w:r>
            <w:r w:rsidR="00596C76">
              <w:rPr>
                <w:lang w:val="sq-AL"/>
              </w:rPr>
              <w:t>1 000</w:t>
            </w:r>
          </w:p>
        </w:tc>
        <w:tc>
          <w:tcPr>
            <w:tcW w:w="1027" w:type="dxa"/>
            <w:tcBorders>
              <w:top w:val="nil"/>
              <w:left w:val="dotted" w:sz="4" w:space="0" w:color="auto"/>
              <w:bottom w:val="dotted" w:sz="4" w:space="0" w:color="auto"/>
              <w:right w:val="dotted" w:sz="4" w:space="0" w:color="auto"/>
            </w:tcBorders>
            <w:shd w:val="clear" w:color="auto" w:fill="auto"/>
            <w:noWrap/>
          </w:tcPr>
          <w:p w14:paraId="720638BE" w14:textId="6DAFEF3D" w:rsidR="00986709" w:rsidRPr="00986709" w:rsidRDefault="001526FC" w:rsidP="00596C76">
            <w:pPr>
              <w:jc w:val="both"/>
              <w:rPr>
                <w:lang w:val="sq-AL"/>
              </w:rPr>
            </w:pPr>
            <w:r>
              <w:rPr>
                <w:lang w:val="sq-AL"/>
              </w:rPr>
              <w:t xml:space="preserve">     417</w:t>
            </w:r>
          </w:p>
        </w:tc>
        <w:tc>
          <w:tcPr>
            <w:tcW w:w="1113" w:type="dxa"/>
            <w:tcBorders>
              <w:top w:val="nil"/>
              <w:left w:val="nil"/>
              <w:bottom w:val="dotted" w:sz="4" w:space="0" w:color="auto"/>
              <w:right w:val="double" w:sz="6" w:space="0" w:color="auto"/>
            </w:tcBorders>
            <w:shd w:val="clear" w:color="auto" w:fill="auto"/>
          </w:tcPr>
          <w:p w14:paraId="73BBBC8B" w14:textId="0390BF53" w:rsidR="00986709" w:rsidRPr="00986709" w:rsidRDefault="001526FC" w:rsidP="00596C76">
            <w:pPr>
              <w:jc w:val="both"/>
              <w:rPr>
                <w:lang w:val="sq-AL"/>
              </w:rPr>
            </w:pPr>
            <w:r>
              <w:rPr>
                <w:lang w:val="sq-AL"/>
              </w:rPr>
              <w:t xml:space="preserve">   42%</w:t>
            </w:r>
          </w:p>
        </w:tc>
      </w:tr>
      <w:tr w:rsidR="00986709" w:rsidRPr="00986709" w14:paraId="1AF3868F" w14:textId="77777777" w:rsidTr="00BF76F9">
        <w:trPr>
          <w:trHeight w:val="315"/>
          <w:jc w:val="center"/>
        </w:trPr>
        <w:tc>
          <w:tcPr>
            <w:tcW w:w="4020" w:type="dxa"/>
            <w:gridSpan w:val="2"/>
            <w:tcBorders>
              <w:top w:val="dotted" w:sz="4" w:space="0" w:color="auto"/>
              <w:left w:val="double" w:sz="6" w:space="0" w:color="auto"/>
              <w:bottom w:val="double" w:sz="6" w:space="0" w:color="auto"/>
              <w:right w:val="dotted" w:sz="4" w:space="0" w:color="000000"/>
            </w:tcBorders>
            <w:shd w:val="clear" w:color="000000" w:fill="DAEEF3"/>
            <w:vAlign w:val="center"/>
            <w:hideMark/>
          </w:tcPr>
          <w:p w14:paraId="36225B89" w14:textId="77777777" w:rsidR="00986709" w:rsidRPr="00883C42" w:rsidRDefault="00986709" w:rsidP="00986709">
            <w:pPr>
              <w:jc w:val="center"/>
              <w:rPr>
                <w:b/>
                <w:bCs/>
                <w:lang w:val="sq-AL"/>
              </w:rPr>
            </w:pPr>
            <w:r w:rsidRPr="00883C42">
              <w:rPr>
                <w:b/>
                <w:bCs/>
                <w:sz w:val="22"/>
                <w:szCs w:val="22"/>
                <w:lang w:val="sq-AL"/>
              </w:rPr>
              <w:t>TOTALI</w:t>
            </w:r>
          </w:p>
        </w:tc>
        <w:tc>
          <w:tcPr>
            <w:tcW w:w="960" w:type="dxa"/>
            <w:tcBorders>
              <w:top w:val="dotted" w:sz="4" w:space="0" w:color="auto"/>
              <w:left w:val="nil"/>
              <w:bottom w:val="double" w:sz="6" w:space="0" w:color="auto"/>
              <w:right w:val="dotted" w:sz="4" w:space="0" w:color="auto"/>
            </w:tcBorders>
            <w:shd w:val="clear" w:color="000000" w:fill="DAEEF3"/>
            <w:vAlign w:val="center"/>
          </w:tcPr>
          <w:p w14:paraId="5F1E7387" w14:textId="78E20C66" w:rsidR="00986709" w:rsidRPr="00986709" w:rsidRDefault="00596C76" w:rsidP="00596C76">
            <w:pPr>
              <w:jc w:val="both"/>
              <w:rPr>
                <w:b/>
                <w:bCs/>
                <w:lang w:val="sq-AL"/>
              </w:rPr>
            </w:pPr>
            <w:r>
              <w:rPr>
                <w:b/>
                <w:bCs/>
                <w:lang w:val="sq-AL"/>
              </w:rPr>
              <w:t>18 5</w:t>
            </w:r>
            <w:r w:rsidR="00F37586">
              <w:rPr>
                <w:b/>
                <w:bCs/>
                <w:lang w:val="sq-AL"/>
              </w:rPr>
              <w:t>67</w:t>
            </w:r>
          </w:p>
        </w:tc>
        <w:tc>
          <w:tcPr>
            <w:tcW w:w="1027" w:type="dxa"/>
            <w:tcBorders>
              <w:top w:val="dotted" w:sz="4" w:space="0" w:color="auto"/>
              <w:left w:val="dotted" w:sz="4" w:space="0" w:color="auto"/>
              <w:bottom w:val="double" w:sz="6" w:space="0" w:color="auto"/>
              <w:right w:val="dotted" w:sz="4" w:space="0" w:color="auto"/>
            </w:tcBorders>
            <w:shd w:val="clear" w:color="000000" w:fill="DAEEF3"/>
          </w:tcPr>
          <w:p w14:paraId="2E42FD4D" w14:textId="12B5C59D" w:rsidR="00986709" w:rsidRPr="00986709" w:rsidRDefault="001526FC" w:rsidP="00596C76">
            <w:pPr>
              <w:jc w:val="both"/>
              <w:rPr>
                <w:b/>
                <w:bCs/>
                <w:lang w:val="sq-AL"/>
              </w:rPr>
            </w:pPr>
            <w:r>
              <w:rPr>
                <w:b/>
                <w:bCs/>
                <w:lang w:val="sq-AL"/>
              </w:rPr>
              <w:t xml:space="preserve"> 8 833</w:t>
            </w:r>
          </w:p>
        </w:tc>
        <w:tc>
          <w:tcPr>
            <w:tcW w:w="1113" w:type="dxa"/>
            <w:tcBorders>
              <w:top w:val="dotted" w:sz="4" w:space="0" w:color="auto"/>
              <w:left w:val="nil"/>
              <w:bottom w:val="double" w:sz="6" w:space="0" w:color="auto"/>
              <w:right w:val="double" w:sz="6" w:space="0" w:color="auto"/>
            </w:tcBorders>
            <w:shd w:val="clear" w:color="000000" w:fill="DAEEF3"/>
          </w:tcPr>
          <w:p w14:paraId="5AFC4518" w14:textId="79AB54A3" w:rsidR="00986709" w:rsidRPr="00986709" w:rsidRDefault="001526FC" w:rsidP="00596C76">
            <w:pPr>
              <w:jc w:val="both"/>
              <w:rPr>
                <w:b/>
                <w:bCs/>
                <w:lang w:val="sq-AL"/>
              </w:rPr>
            </w:pPr>
            <w:r>
              <w:rPr>
                <w:b/>
                <w:bCs/>
                <w:lang w:val="sq-AL"/>
              </w:rPr>
              <w:t xml:space="preserve">   48</w:t>
            </w:r>
            <w:r w:rsidR="00596C76">
              <w:rPr>
                <w:b/>
                <w:bCs/>
                <w:lang w:val="sq-AL"/>
              </w:rPr>
              <w:t>%</w:t>
            </w:r>
          </w:p>
        </w:tc>
      </w:tr>
    </w:tbl>
    <w:p w14:paraId="34CA4C5E" w14:textId="77777777" w:rsidR="00F45E37" w:rsidRDefault="00F45E37" w:rsidP="00421E6D">
      <w:pPr>
        <w:spacing w:line="360" w:lineRule="auto"/>
        <w:jc w:val="both"/>
        <w:rPr>
          <w:rFonts w:eastAsia="Calibri"/>
          <w:lang w:val="sq-AL"/>
        </w:rPr>
      </w:pPr>
    </w:p>
    <w:p w14:paraId="13B971DF" w14:textId="491E91C0" w:rsidR="00596C76" w:rsidRPr="00596C76" w:rsidRDefault="00596C76" w:rsidP="00421E6D">
      <w:pPr>
        <w:spacing w:line="360" w:lineRule="auto"/>
        <w:jc w:val="both"/>
        <w:rPr>
          <w:rFonts w:eastAsia="Calibri"/>
          <w:lang w:val="sq-AL"/>
        </w:rPr>
      </w:pPr>
      <w:r w:rsidRPr="00596C76">
        <w:rPr>
          <w:rFonts w:eastAsia="Calibri"/>
          <w:lang w:val="sq-AL"/>
        </w:rPr>
        <w:t xml:space="preserve">Pra sic shikohet nga të dhënat e tabelës së mësipërme plani i shpenzimeve të buxhetit në Total me financim të brendshëm për këtë institucion, për </w:t>
      </w:r>
      <w:r w:rsidR="001526FC">
        <w:rPr>
          <w:rFonts w:eastAsia="Calibri"/>
          <w:lang w:val="sq-AL"/>
        </w:rPr>
        <w:t>8</w:t>
      </w:r>
      <w:r w:rsidRPr="00596C76">
        <w:rPr>
          <w:rFonts w:eastAsia="Calibri"/>
          <w:lang w:val="sq-AL"/>
        </w:rPr>
        <w:t xml:space="preserve"> Mujorin është realizuar në masën </w:t>
      </w:r>
      <w:r w:rsidR="001526FC">
        <w:rPr>
          <w:rFonts w:eastAsia="Calibri"/>
          <w:lang w:val="sq-AL"/>
        </w:rPr>
        <w:t>48</w:t>
      </w:r>
      <w:r w:rsidRPr="00596C76">
        <w:rPr>
          <w:rFonts w:eastAsia="Calibri"/>
          <w:lang w:val="sq-AL"/>
        </w:rPr>
        <w:t>% të planit, ndërsa realizimi sipas zërave të shpenzimeve paraqitet si më poshtë:</w:t>
      </w:r>
    </w:p>
    <w:p w14:paraId="4C523AB3" w14:textId="318657B9" w:rsidR="00596C76" w:rsidRPr="00596C76" w:rsidRDefault="00596C76" w:rsidP="00421E6D">
      <w:pPr>
        <w:numPr>
          <w:ilvl w:val="0"/>
          <w:numId w:val="14"/>
        </w:numPr>
        <w:spacing w:after="200" w:line="360" w:lineRule="auto"/>
        <w:contextualSpacing/>
        <w:jc w:val="both"/>
        <w:rPr>
          <w:rFonts w:eastAsia="Calibri"/>
          <w:lang w:val="sq-AL"/>
        </w:rPr>
      </w:pPr>
      <w:r w:rsidRPr="00596C76">
        <w:rPr>
          <w:rFonts w:eastAsia="Calibri"/>
          <w:lang w:val="sq-AL"/>
        </w:rPr>
        <w:t xml:space="preserve">Shpenzimet e personelit janë realizuar në masën </w:t>
      </w:r>
      <w:r w:rsidR="001526FC">
        <w:rPr>
          <w:rFonts w:eastAsia="Calibri"/>
          <w:lang w:val="sq-AL"/>
        </w:rPr>
        <w:t>6</w:t>
      </w:r>
      <w:r>
        <w:rPr>
          <w:rFonts w:eastAsia="Calibri"/>
          <w:lang w:val="sq-AL"/>
        </w:rPr>
        <w:t>0</w:t>
      </w:r>
      <w:r w:rsidRPr="00596C76">
        <w:rPr>
          <w:rFonts w:eastAsia="Calibri"/>
          <w:lang w:val="sq-AL"/>
        </w:rPr>
        <w:t xml:space="preserve">% të planit vjetor i cili është akorduar për numrin e planifikuar të punonjësve prej </w:t>
      </w:r>
      <w:r w:rsidR="00421E6D">
        <w:rPr>
          <w:rFonts w:eastAsia="Calibri"/>
          <w:lang w:val="sq-AL"/>
        </w:rPr>
        <w:t>6</w:t>
      </w:r>
      <w:r w:rsidRPr="00596C76">
        <w:rPr>
          <w:rFonts w:eastAsia="Calibri"/>
          <w:lang w:val="sq-AL"/>
        </w:rPr>
        <w:t xml:space="preserve"> punonj</w:t>
      </w:r>
      <w:r w:rsidR="00F45E37">
        <w:rPr>
          <w:rFonts w:eastAsia="Calibri"/>
          <w:lang w:val="sq-AL"/>
        </w:rPr>
        <w:t>ë</w:t>
      </w:r>
      <w:r w:rsidRPr="00596C76">
        <w:rPr>
          <w:rFonts w:eastAsia="Calibri"/>
          <w:lang w:val="sq-AL"/>
        </w:rPr>
        <w:t>sish.</w:t>
      </w:r>
    </w:p>
    <w:p w14:paraId="09A2B1D5" w14:textId="193C60CA" w:rsidR="00596C76" w:rsidRPr="00596C76" w:rsidRDefault="00596C76" w:rsidP="00421E6D">
      <w:pPr>
        <w:numPr>
          <w:ilvl w:val="0"/>
          <w:numId w:val="14"/>
        </w:numPr>
        <w:spacing w:after="200" w:line="360" w:lineRule="auto"/>
        <w:contextualSpacing/>
        <w:jc w:val="both"/>
        <w:rPr>
          <w:rFonts w:eastAsia="Calibri"/>
          <w:lang w:val="sq-AL"/>
        </w:rPr>
      </w:pPr>
      <w:r w:rsidRPr="00596C76">
        <w:rPr>
          <w:rFonts w:eastAsia="Calibri"/>
          <w:lang w:val="sq-AL"/>
        </w:rPr>
        <w:t xml:space="preserve">Shpenzimet e tjera korrente janë realizuar në masën </w:t>
      </w:r>
      <w:r w:rsidR="001526FC">
        <w:rPr>
          <w:rFonts w:eastAsia="Calibri"/>
          <w:lang w:val="sq-AL"/>
        </w:rPr>
        <w:t>37</w:t>
      </w:r>
      <w:r w:rsidRPr="00596C76">
        <w:rPr>
          <w:rFonts w:eastAsia="Calibri"/>
          <w:lang w:val="sq-AL"/>
        </w:rPr>
        <w:t xml:space="preserve">% të planit vjetor, </w:t>
      </w:r>
    </w:p>
    <w:p w14:paraId="418CF2D3" w14:textId="63BCA9A1" w:rsidR="00596C76" w:rsidRPr="00596C76" w:rsidRDefault="00F45E37" w:rsidP="00421E6D">
      <w:pPr>
        <w:numPr>
          <w:ilvl w:val="0"/>
          <w:numId w:val="14"/>
        </w:numPr>
        <w:spacing w:after="200" w:line="360" w:lineRule="auto"/>
        <w:contextualSpacing/>
        <w:jc w:val="both"/>
        <w:rPr>
          <w:rFonts w:eastAsia="Calibri"/>
          <w:lang w:val="sq-AL"/>
        </w:rPr>
      </w:pPr>
      <w:r>
        <w:rPr>
          <w:rFonts w:eastAsia="Calibri"/>
          <w:lang w:val="sq-AL"/>
        </w:rPr>
        <w:t>S</w:t>
      </w:r>
      <w:r w:rsidR="00596C76" w:rsidRPr="00596C76">
        <w:rPr>
          <w:rFonts w:eastAsia="Calibri"/>
          <w:lang w:val="sq-AL"/>
        </w:rPr>
        <w:t>hpenzimet kapitale deri n</w:t>
      </w:r>
      <w:r>
        <w:rPr>
          <w:rFonts w:eastAsia="Calibri"/>
          <w:lang w:val="sq-AL"/>
        </w:rPr>
        <w:t>ë</w:t>
      </w:r>
      <w:r w:rsidR="00596C76" w:rsidRPr="00596C76">
        <w:rPr>
          <w:rFonts w:eastAsia="Calibri"/>
          <w:lang w:val="sq-AL"/>
        </w:rPr>
        <w:t xml:space="preserve"> fund t</w:t>
      </w:r>
      <w:r>
        <w:rPr>
          <w:rFonts w:eastAsia="Calibri"/>
          <w:lang w:val="sq-AL"/>
        </w:rPr>
        <w:t>ë</w:t>
      </w:r>
      <w:r w:rsidR="00596C76" w:rsidRPr="00596C76">
        <w:rPr>
          <w:rFonts w:eastAsia="Calibri"/>
          <w:lang w:val="sq-AL"/>
        </w:rPr>
        <w:t xml:space="preserve"> </w:t>
      </w:r>
      <w:r w:rsidR="001526FC">
        <w:rPr>
          <w:rFonts w:eastAsia="Calibri"/>
          <w:lang w:val="sq-AL"/>
        </w:rPr>
        <w:t>8</w:t>
      </w:r>
      <w:r w:rsidR="00596C76" w:rsidRPr="00596C76">
        <w:rPr>
          <w:rFonts w:eastAsia="Calibri"/>
          <w:lang w:val="sq-AL"/>
        </w:rPr>
        <w:t xml:space="preserve"> mujorit </w:t>
      </w:r>
      <w:r w:rsidR="001526FC">
        <w:rPr>
          <w:rFonts w:eastAsia="Calibri"/>
          <w:lang w:val="sq-AL"/>
        </w:rPr>
        <w:t>jan</w:t>
      </w:r>
      <w:r>
        <w:rPr>
          <w:rFonts w:eastAsia="Calibri"/>
          <w:lang w:val="sq-AL"/>
        </w:rPr>
        <w:t>ë</w:t>
      </w:r>
      <w:r w:rsidR="001526FC">
        <w:rPr>
          <w:rFonts w:eastAsia="Calibri"/>
          <w:lang w:val="sq-AL"/>
        </w:rPr>
        <w:t xml:space="preserve"> </w:t>
      </w:r>
      <w:r w:rsidR="00596C76" w:rsidRPr="00596C76">
        <w:rPr>
          <w:rFonts w:eastAsia="Calibri"/>
          <w:lang w:val="sq-AL"/>
        </w:rPr>
        <w:t>realizuar</w:t>
      </w:r>
      <w:r w:rsidR="001526FC">
        <w:rPr>
          <w:rFonts w:eastAsia="Calibri"/>
          <w:lang w:val="sq-AL"/>
        </w:rPr>
        <w:t xml:space="preserve"> n</w:t>
      </w:r>
      <w:r>
        <w:rPr>
          <w:rFonts w:eastAsia="Calibri"/>
          <w:lang w:val="sq-AL"/>
        </w:rPr>
        <w:t>ë</w:t>
      </w:r>
      <w:r w:rsidR="001526FC">
        <w:rPr>
          <w:rFonts w:eastAsia="Calibri"/>
          <w:lang w:val="sq-AL"/>
        </w:rPr>
        <w:t xml:space="preserve"> mas</w:t>
      </w:r>
      <w:r>
        <w:rPr>
          <w:rFonts w:eastAsia="Calibri"/>
          <w:lang w:val="sq-AL"/>
        </w:rPr>
        <w:t>ë</w:t>
      </w:r>
      <w:r w:rsidR="001526FC">
        <w:rPr>
          <w:rFonts w:eastAsia="Calibri"/>
          <w:lang w:val="sq-AL"/>
        </w:rPr>
        <w:t>n 42%</w:t>
      </w:r>
      <w:r w:rsidR="00596C76" w:rsidRPr="00596C76">
        <w:rPr>
          <w:rFonts w:eastAsia="Calibri"/>
          <w:lang w:val="sq-AL"/>
        </w:rPr>
        <w:t>.</w:t>
      </w:r>
    </w:p>
    <w:p w14:paraId="18F153D4" w14:textId="7BDF7414" w:rsidR="00421E6D" w:rsidRDefault="00421E6D" w:rsidP="001742EF">
      <w:pPr>
        <w:tabs>
          <w:tab w:val="left" w:pos="2160"/>
        </w:tabs>
        <w:spacing w:line="276" w:lineRule="auto"/>
        <w:jc w:val="both"/>
        <w:rPr>
          <w:bCs/>
          <w:lang w:val="sq-AL"/>
        </w:rPr>
      </w:pPr>
    </w:p>
    <w:p w14:paraId="0A149E06" w14:textId="3AFBC173" w:rsidR="00421E6D" w:rsidRPr="00421E6D" w:rsidRDefault="00421E6D" w:rsidP="00421E6D">
      <w:pPr>
        <w:pStyle w:val="ListParagraph"/>
        <w:numPr>
          <w:ilvl w:val="0"/>
          <w:numId w:val="15"/>
        </w:numPr>
        <w:spacing w:after="200" w:line="276" w:lineRule="auto"/>
        <w:jc w:val="both"/>
        <w:rPr>
          <w:rFonts w:eastAsia="Calibri"/>
          <w:sz w:val="26"/>
          <w:szCs w:val="26"/>
          <w:lang w:val="sq-AL"/>
        </w:rPr>
      </w:pPr>
      <w:r w:rsidRPr="00421E6D">
        <w:rPr>
          <w:rFonts w:eastAsia="Calibri"/>
          <w:b/>
          <w:sz w:val="26"/>
          <w:szCs w:val="26"/>
          <w:lang w:val="sq-AL"/>
        </w:rPr>
        <w:t>Informacion mbi volumin dhe madhësinë e ndryshimit të buxhetit</w:t>
      </w:r>
    </w:p>
    <w:p w14:paraId="76BFB76D" w14:textId="1377D00C" w:rsidR="00421E6D" w:rsidRPr="00421E6D" w:rsidRDefault="00421E6D" w:rsidP="00421E6D">
      <w:pPr>
        <w:jc w:val="both"/>
        <w:rPr>
          <w:rFonts w:eastAsia="Calibri"/>
          <w:lang w:val="sq-AL"/>
        </w:rPr>
      </w:pPr>
      <w:r w:rsidRPr="00421E6D">
        <w:rPr>
          <w:rFonts w:eastAsia="Calibri"/>
          <w:lang w:val="sq-AL"/>
        </w:rPr>
        <w:t xml:space="preserve">Për Buxhetin e </w:t>
      </w:r>
      <w:r w:rsidR="00F45E37">
        <w:rPr>
          <w:rFonts w:eastAsia="Calibri"/>
          <w:lang w:val="sq-AL"/>
        </w:rPr>
        <w:t>Këshillit Kombëtar të Kontabilitetit</w:t>
      </w:r>
      <w:r w:rsidRPr="00421E6D">
        <w:rPr>
          <w:rFonts w:eastAsia="Calibri"/>
          <w:lang w:val="sq-AL"/>
        </w:rPr>
        <w:t xml:space="preserve"> për vitin 2024, situata në lidhje me ndryshimet</w:t>
      </w:r>
      <w:r w:rsidR="00F45E37">
        <w:rPr>
          <w:rFonts w:eastAsia="Calibri"/>
          <w:lang w:val="sq-AL"/>
        </w:rPr>
        <w:t xml:space="preserve"> e planit të buxhetit </w:t>
      </w:r>
      <w:r w:rsidRPr="00421E6D">
        <w:rPr>
          <w:rFonts w:eastAsia="Calibri"/>
          <w:lang w:val="sq-AL"/>
        </w:rPr>
        <w:t>gjatë vitit 2024, paraqitet në tabelën e mëposhtme:</w:t>
      </w:r>
    </w:p>
    <w:p w14:paraId="33ECD226" w14:textId="77777777" w:rsidR="00421E6D" w:rsidRPr="00421E6D" w:rsidRDefault="00421E6D" w:rsidP="00421E6D">
      <w:pPr>
        <w:jc w:val="both"/>
        <w:rPr>
          <w:rFonts w:eastAsia="Calibri"/>
          <w:lang w:val="sq-AL"/>
        </w:rPr>
      </w:pPr>
    </w:p>
    <w:p w14:paraId="1F46D7E5" w14:textId="77777777" w:rsidR="00421E6D" w:rsidRPr="00421E6D" w:rsidRDefault="00421E6D" w:rsidP="00421E6D">
      <w:pPr>
        <w:jc w:val="right"/>
        <w:rPr>
          <w:rFonts w:eastAsia="Calibri"/>
          <w:i/>
          <w:sz w:val="20"/>
          <w:szCs w:val="20"/>
          <w:lang w:val="sq-AL"/>
        </w:rPr>
      </w:pPr>
      <w:r w:rsidRPr="00421E6D">
        <w:rPr>
          <w:rFonts w:eastAsia="Calibri"/>
          <w:i/>
          <w:sz w:val="20"/>
          <w:szCs w:val="20"/>
          <w:lang w:val="sq-AL"/>
        </w:rPr>
        <w:t>në  000/lekë</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187"/>
        <w:gridCol w:w="1638"/>
        <w:gridCol w:w="1937"/>
        <w:gridCol w:w="1588"/>
      </w:tblGrid>
      <w:tr w:rsidR="00421E6D" w:rsidRPr="00421E6D" w14:paraId="31CD8A03" w14:textId="77777777" w:rsidTr="00421E6D">
        <w:tc>
          <w:tcPr>
            <w:tcW w:w="2239" w:type="pct"/>
            <w:shd w:val="clear" w:color="auto" w:fill="DAEEF3" w:themeFill="accent5" w:themeFillTint="33"/>
          </w:tcPr>
          <w:p w14:paraId="7BD528BB" w14:textId="77777777" w:rsidR="00421E6D" w:rsidRPr="00421E6D" w:rsidRDefault="00421E6D" w:rsidP="00421E6D">
            <w:pPr>
              <w:jc w:val="center"/>
              <w:rPr>
                <w:rFonts w:eastAsia="Calibri"/>
                <w:b/>
                <w:lang w:val="sq-AL"/>
              </w:rPr>
            </w:pPr>
          </w:p>
          <w:p w14:paraId="3B888525" w14:textId="77777777" w:rsidR="00421E6D" w:rsidRPr="00421E6D" w:rsidRDefault="00421E6D" w:rsidP="00421E6D">
            <w:pPr>
              <w:jc w:val="center"/>
              <w:rPr>
                <w:rFonts w:eastAsia="Calibri"/>
                <w:b/>
                <w:lang w:val="sq-AL"/>
              </w:rPr>
            </w:pPr>
            <w:r w:rsidRPr="00421E6D">
              <w:rPr>
                <w:rFonts w:eastAsia="Calibri"/>
                <w:b/>
                <w:lang w:val="sq-AL"/>
              </w:rPr>
              <w:t>Programet</w:t>
            </w:r>
          </w:p>
        </w:tc>
        <w:tc>
          <w:tcPr>
            <w:tcW w:w="876" w:type="pct"/>
            <w:shd w:val="clear" w:color="auto" w:fill="DAEEF3" w:themeFill="accent5" w:themeFillTint="33"/>
          </w:tcPr>
          <w:p w14:paraId="7F68B5FA" w14:textId="77777777" w:rsidR="00421E6D" w:rsidRPr="00421E6D" w:rsidRDefault="00421E6D" w:rsidP="00421E6D">
            <w:pPr>
              <w:jc w:val="center"/>
              <w:rPr>
                <w:rFonts w:eastAsia="Calibri"/>
                <w:b/>
                <w:lang w:val="sq-AL"/>
              </w:rPr>
            </w:pPr>
            <w:r w:rsidRPr="00421E6D">
              <w:rPr>
                <w:rFonts w:eastAsia="Calibri"/>
                <w:b/>
                <w:lang w:val="sq-AL"/>
              </w:rPr>
              <w:t>Buxheti fillestar 2024</w:t>
            </w:r>
          </w:p>
        </w:tc>
        <w:tc>
          <w:tcPr>
            <w:tcW w:w="1036" w:type="pct"/>
            <w:shd w:val="clear" w:color="auto" w:fill="DAEEF3" w:themeFill="accent5" w:themeFillTint="33"/>
          </w:tcPr>
          <w:p w14:paraId="6F1A3A58" w14:textId="70576F93" w:rsidR="00421E6D" w:rsidRPr="00421E6D" w:rsidRDefault="00421E6D" w:rsidP="00421E6D">
            <w:pPr>
              <w:jc w:val="center"/>
              <w:rPr>
                <w:rFonts w:eastAsia="Calibri"/>
                <w:b/>
                <w:lang w:val="sq-AL"/>
              </w:rPr>
            </w:pPr>
            <w:r w:rsidRPr="00421E6D">
              <w:rPr>
                <w:rFonts w:eastAsia="Calibri"/>
                <w:b/>
                <w:lang w:val="sq-AL"/>
              </w:rPr>
              <w:t>Buxheti me ndryshime 202</w:t>
            </w:r>
            <w:r w:rsidR="00A22663">
              <w:rPr>
                <w:rFonts w:eastAsia="Calibri"/>
                <w:b/>
                <w:lang w:val="sq-AL"/>
              </w:rPr>
              <w:t>4</w:t>
            </w:r>
          </w:p>
        </w:tc>
        <w:tc>
          <w:tcPr>
            <w:tcW w:w="849" w:type="pct"/>
            <w:shd w:val="clear" w:color="auto" w:fill="DAEEF3" w:themeFill="accent5" w:themeFillTint="33"/>
          </w:tcPr>
          <w:p w14:paraId="5C3D2BFE" w14:textId="77777777" w:rsidR="00421E6D" w:rsidRPr="00421E6D" w:rsidRDefault="00421E6D" w:rsidP="00421E6D">
            <w:pPr>
              <w:jc w:val="center"/>
              <w:rPr>
                <w:rFonts w:eastAsia="Calibri"/>
                <w:b/>
                <w:lang w:val="sq-AL"/>
              </w:rPr>
            </w:pPr>
            <w:r w:rsidRPr="00421E6D">
              <w:rPr>
                <w:rFonts w:eastAsia="Calibri"/>
                <w:b/>
                <w:lang w:val="sq-AL"/>
              </w:rPr>
              <w:t>Diferenca</w:t>
            </w:r>
          </w:p>
        </w:tc>
      </w:tr>
      <w:tr w:rsidR="00421E6D" w:rsidRPr="00421E6D" w14:paraId="5CD653BA" w14:textId="77777777" w:rsidTr="00CB0840">
        <w:trPr>
          <w:trHeight w:val="233"/>
        </w:trPr>
        <w:tc>
          <w:tcPr>
            <w:tcW w:w="2239" w:type="pct"/>
          </w:tcPr>
          <w:p w14:paraId="35346DA8" w14:textId="77777777" w:rsidR="00421E6D" w:rsidRPr="00421E6D" w:rsidRDefault="00421E6D" w:rsidP="00421E6D">
            <w:pPr>
              <w:rPr>
                <w:rFonts w:eastAsia="Calibri"/>
                <w:lang w:val="sq-AL"/>
              </w:rPr>
            </w:pPr>
          </w:p>
        </w:tc>
        <w:tc>
          <w:tcPr>
            <w:tcW w:w="876" w:type="pct"/>
          </w:tcPr>
          <w:p w14:paraId="375F9455" w14:textId="77777777" w:rsidR="00421E6D" w:rsidRPr="00421E6D" w:rsidRDefault="00421E6D" w:rsidP="00421E6D">
            <w:pPr>
              <w:jc w:val="center"/>
              <w:rPr>
                <w:rFonts w:eastAsia="Calibri"/>
                <w:b/>
                <w:lang w:val="sq-AL"/>
              </w:rPr>
            </w:pPr>
            <w:r w:rsidRPr="00421E6D">
              <w:rPr>
                <w:rFonts w:eastAsia="Calibri"/>
                <w:b/>
                <w:lang w:val="sq-AL"/>
              </w:rPr>
              <w:t>(1)</w:t>
            </w:r>
          </w:p>
        </w:tc>
        <w:tc>
          <w:tcPr>
            <w:tcW w:w="1036" w:type="pct"/>
          </w:tcPr>
          <w:p w14:paraId="68CA5399" w14:textId="77777777" w:rsidR="00421E6D" w:rsidRPr="00421E6D" w:rsidRDefault="00421E6D" w:rsidP="00421E6D">
            <w:pPr>
              <w:jc w:val="center"/>
              <w:rPr>
                <w:rFonts w:eastAsia="Calibri"/>
                <w:b/>
                <w:lang w:val="sq-AL"/>
              </w:rPr>
            </w:pPr>
            <w:r w:rsidRPr="00421E6D">
              <w:rPr>
                <w:rFonts w:eastAsia="Calibri"/>
                <w:b/>
                <w:lang w:val="sq-AL"/>
              </w:rPr>
              <w:t>(2)</w:t>
            </w:r>
          </w:p>
        </w:tc>
        <w:tc>
          <w:tcPr>
            <w:tcW w:w="849" w:type="pct"/>
          </w:tcPr>
          <w:p w14:paraId="34F602CD" w14:textId="77777777" w:rsidR="00421E6D" w:rsidRPr="00421E6D" w:rsidRDefault="00421E6D" w:rsidP="00421E6D">
            <w:pPr>
              <w:jc w:val="center"/>
              <w:rPr>
                <w:rFonts w:eastAsia="Calibri"/>
                <w:b/>
                <w:lang w:val="sq-AL"/>
              </w:rPr>
            </w:pPr>
            <w:r w:rsidRPr="00421E6D">
              <w:rPr>
                <w:rFonts w:eastAsia="Calibri"/>
                <w:b/>
                <w:lang w:val="sq-AL"/>
              </w:rPr>
              <w:t>(3=2-1)</w:t>
            </w:r>
          </w:p>
        </w:tc>
      </w:tr>
      <w:tr w:rsidR="00421E6D" w:rsidRPr="00421E6D" w14:paraId="5DB73AF4" w14:textId="77777777" w:rsidTr="00CB0840">
        <w:trPr>
          <w:trHeight w:val="287"/>
        </w:trPr>
        <w:tc>
          <w:tcPr>
            <w:tcW w:w="2239" w:type="pct"/>
          </w:tcPr>
          <w:p w14:paraId="2556FDEF" w14:textId="62A88171" w:rsidR="00421E6D" w:rsidRPr="00421E6D" w:rsidRDefault="00421E6D" w:rsidP="00421E6D">
            <w:pPr>
              <w:jc w:val="center"/>
              <w:rPr>
                <w:rFonts w:eastAsia="Calibri"/>
                <w:lang w:val="sq-AL"/>
              </w:rPr>
            </w:pPr>
            <w:r w:rsidRPr="006E1988">
              <w:rPr>
                <w:rFonts w:asciiTheme="majorBidi" w:hAnsiTheme="majorBidi" w:cstheme="majorBidi"/>
                <w:lang w:val="sq-AL"/>
              </w:rPr>
              <w:t>“Planifikimi, Menaxhimi dhe Administrimi</w:t>
            </w:r>
          </w:p>
        </w:tc>
        <w:tc>
          <w:tcPr>
            <w:tcW w:w="876" w:type="pct"/>
          </w:tcPr>
          <w:p w14:paraId="15587ADD" w14:textId="151A9BD1" w:rsidR="00421E6D" w:rsidRPr="00421E6D" w:rsidRDefault="00421E6D" w:rsidP="00421E6D">
            <w:pPr>
              <w:jc w:val="center"/>
              <w:rPr>
                <w:rFonts w:eastAsia="Calibri"/>
                <w:lang w:val="sq-AL"/>
              </w:rPr>
            </w:pPr>
            <w:r>
              <w:rPr>
                <w:rFonts w:eastAsia="Calibri"/>
                <w:lang w:val="sq-AL"/>
              </w:rPr>
              <w:t>18 400</w:t>
            </w:r>
          </w:p>
        </w:tc>
        <w:tc>
          <w:tcPr>
            <w:tcW w:w="1036" w:type="pct"/>
          </w:tcPr>
          <w:p w14:paraId="7E6E3D3C" w14:textId="4063D847" w:rsidR="00421E6D" w:rsidRPr="00421E6D" w:rsidRDefault="00421E6D" w:rsidP="00421E6D">
            <w:pPr>
              <w:jc w:val="center"/>
              <w:rPr>
                <w:rFonts w:eastAsia="Calibri"/>
                <w:lang w:val="sq-AL"/>
              </w:rPr>
            </w:pPr>
            <w:r>
              <w:rPr>
                <w:rFonts w:eastAsia="Calibri"/>
                <w:lang w:val="sq-AL"/>
              </w:rPr>
              <w:t>18 5</w:t>
            </w:r>
            <w:r w:rsidR="001526FC">
              <w:rPr>
                <w:rFonts w:eastAsia="Calibri"/>
                <w:lang w:val="sq-AL"/>
              </w:rPr>
              <w:t>67</w:t>
            </w:r>
          </w:p>
        </w:tc>
        <w:tc>
          <w:tcPr>
            <w:tcW w:w="849" w:type="pct"/>
          </w:tcPr>
          <w:p w14:paraId="6630158A" w14:textId="7660D2E7" w:rsidR="00421E6D" w:rsidRPr="00421E6D" w:rsidRDefault="00421E6D" w:rsidP="00421E6D">
            <w:pPr>
              <w:jc w:val="center"/>
              <w:rPr>
                <w:rFonts w:eastAsia="Calibri"/>
                <w:lang w:val="sq-AL"/>
              </w:rPr>
            </w:pPr>
            <w:r>
              <w:rPr>
                <w:rFonts w:eastAsia="Calibri"/>
                <w:lang w:val="sq-AL"/>
              </w:rPr>
              <w:t>1</w:t>
            </w:r>
            <w:r w:rsidR="00BB2DCC">
              <w:rPr>
                <w:rFonts w:eastAsia="Calibri"/>
                <w:lang w:val="sq-AL"/>
              </w:rPr>
              <w:t>67</w:t>
            </w:r>
          </w:p>
        </w:tc>
      </w:tr>
    </w:tbl>
    <w:p w14:paraId="595D8B17" w14:textId="77777777" w:rsidR="00421E6D" w:rsidRPr="00421E6D" w:rsidRDefault="00421E6D" w:rsidP="00421E6D">
      <w:pPr>
        <w:jc w:val="both"/>
        <w:rPr>
          <w:rFonts w:eastAsia="Calibri"/>
          <w:lang w:val="sq-AL"/>
        </w:rPr>
      </w:pPr>
    </w:p>
    <w:p w14:paraId="47332CDB" w14:textId="6A52B4D6" w:rsidR="00BB2DCC" w:rsidRDefault="00421E6D" w:rsidP="00421E6D">
      <w:pPr>
        <w:jc w:val="both"/>
        <w:rPr>
          <w:rFonts w:eastAsia="Calibri"/>
          <w:lang w:val="sq-AL"/>
        </w:rPr>
      </w:pPr>
      <w:r w:rsidRPr="00421E6D">
        <w:rPr>
          <w:rFonts w:eastAsia="Calibri"/>
          <w:lang w:val="sq-AL"/>
        </w:rPr>
        <w:t xml:space="preserve">Ndryshimet e planit </w:t>
      </w:r>
      <w:r w:rsidR="00BB2DCC">
        <w:rPr>
          <w:rFonts w:eastAsia="Calibri"/>
          <w:lang w:val="sq-AL"/>
        </w:rPr>
        <w:t>prej 167 mij</w:t>
      </w:r>
      <w:r w:rsidR="00F45E37">
        <w:rPr>
          <w:rFonts w:eastAsia="Calibri"/>
          <w:lang w:val="sq-AL"/>
        </w:rPr>
        <w:t>ë</w:t>
      </w:r>
      <w:r w:rsidR="00BB2DCC">
        <w:rPr>
          <w:rFonts w:eastAsia="Calibri"/>
          <w:lang w:val="sq-AL"/>
        </w:rPr>
        <w:t xml:space="preserve"> lek</w:t>
      </w:r>
      <w:r w:rsidR="00F45E37">
        <w:rPr>
          <w:rFonts w:eastAsia="Calibri"/>
          <w:lang w:val="sq-AL"/>
        </w:rPr>
        <w:t>ë</w:t>
      </w:r>
      <w:r w:rsidR="00BB2DCC">
        <w:rPr>
          <w:rFonts w:eastAsia="Calibri"/>
          <w:lang w:val="sq-AL"/>
        </w:rPr>
        <w:t xml:space="preserve">sh </w:t>
      </w:r>
      <w:r w:rsidRPr="00421E6D">
        <w:rPr>
          <w:rFonts w:eastAsia="Calibri"/>
          <w:lang w:val="sq-AL"/>
        </w:rPr>
        <w:t>përbëhen nga</w:t>
      </w:r>
      <w:r w:rsidR="00BB2DCC">
        <w:rPr>
          <w:rFonts w:eastAsia="Calibri"/>
          <w:lang w:val="sq-AL"/>
        </w:rPr>
        <w:t>:</w:t>
      </w:r>
    </w:p>
    <w:p w14:paraId="74ADD322" w14:textId="48B250FD" w:rsidR="00421E6D" w:rsidRDefault="00BB2DCC" w:rsidP="00421E6D">
      <w:pPr>
        <w:jc w:val="both"/>
        <w:rPr>
          <w:rFonts w:eastAsia="Calibri"/>
          <w:lang w:val="sq-AL"/>
        </w:rPr>
      </w:pPr>
      <w:r>
        <w:rPr>
          <w:rFonts w:eastAsia="Calibri"/>
          <w:lang w:val="sq-AL"/>
        </w:rPr>
        <w:t>-</w:t>
      </w:r>
      <w:r w:rsidR="00421E6D" w:rsidRPr="00421E6D">
        <w:rPr>
          <w:rFonts w:eastAsia="Calibri"/>
          <w:lang w:val="sq-AL"/>
        </w:rPr>
        <w:t xml:space="preserve">  </w:t>
      </w:r>
      <w:r>
        <w:rPr>
          <w:rFonts w:eastAsia="Calibri"/>
          <w:lang w:val="sq-AL"/>
        </w:rPr>
        <w:t>N</w:t>
      </w:r>
      <w:r w:rsidR="00421E6D" w:rsidRPr="00421E6D">
        <w:rPr>
          <w:rFonts w:eastAsia="Calibri"/>
          <w:lang w:val="sq-AL"/>
        </w:rPr>
        <w:t xml:space="preserve">dryshimet që lidhen me akordimin e fondit për përdorim nga Fondi i </w:t>
      </w:r>
      <w:r>
        <w:rPr>
          <w:rFonts w:eastAsia="Calibri"/>
          <w:lang w:val="sq-AL"/>
        </w:rPr>
        <w:t>V</w:t>
      </w:r>
      <w:r w:rsidR="00421E6D" w:rsidRPr="00421E6D">
        <w:rPr>
          <w:rFonts w:eastAsia="Calibri"/>
          <w:lang w:val="sq-AL"/>
        </w:rPr>
        <w:t>e</w:t>
      </w:r>
      <w:r>
        <w:rPr>
          <w:rFonts w:eastAsia="Calibri"/>
          <w:lang w:val="sq-AL"/>
        </w:rPr>
        <w:t>ç</w:t>
      </w:r>
      <w:r w:rsidR="00421E6D" w:rsidRPr="00421E6D">
        <w:rPr>
          <w:rFonts w:eastAsia="Calibri"/>
          <w:lang w:val="sq-AL"/>
        </w:rPr>
        <w:t>antë</w:t>
      </w:r>
      <w:r>
        <w:rPr>
          <w:rFonts w:eastAsia="Calibri"/>
          <w:lang w:val="sq-AL"/>
        </w:rPr>
        <w:t xml:space="preserve"> n</w:t>
      </w:r>
      <w:r w:rsidR="00F45E37">
        <w:rPr>
          <w:rFonts w:eastAsia="Calibri"/>
          <w:lang w:val="sq-AL"/>
        </w:rPr>
        <w:t>ë</w:t>
      </w:r>
      <w:r>
        <w:rPr>
          <w:rFonts w:eastAsia="Calibri"/>
          <w:lang w:val="sq-AL"/>
        </w:rPr>
        <w:t xml:space="preserve"> shum</w:t>
      </w:r>
      <w:r w:rsidR="00F45E37">
        <w:rPr>
          <w:rFonts w:eastAsia="Calibri"/>
          <w:lang w:val="sq-AL"/>
        </w:rPr>
        <w:t>ë</w:t>
      </w:r>
      <w:r>
        <w:rPr>
          <w:rFonts w:eastAsia="Calibri"/>
          <w:lang w:val="sq-AL"/>
        </w:rPr>
        <w:t>n 100 mij</w:t>
      </w:r>
      <w:r w:rsidR="00F45E37">
        <w:rPr>
          <w:rFonts w:eastAsia="Calibri"/>
          <w:lang w:val="sq-AL"/>
        </w:rPr>
        <w:t>ë</w:t>
      </w:r>
      <w:r>
        <w:rPr>
          <w:rFonts w:eastAsia="Calibri"/>
          <w:lang w:val="sq-AL"/>
        </w:rPr>
        <w:t xml:space="preserve"> lek</w:t>
      </w:r>
      <w:r w:rsidR="00F45E37">
        <w:rPr>
          <w:rFonts w:eastAsia="Calibri"/>
          <w:lang w:val="sq-AL"/>
        </w:rPr>
        <w:t>ë</w:t>
      </w:r>
      <w:r>
        <w:rPr>
          <w:rFonts w:eastAsia="Calibri"/>
          <w:lang w:val="sq-AL"/>
        </w:rPr>
        <w:t>.</w:t>
      </w:r>
    </w:p>
    <w:p w14:paraId="215E45D3" w14:textId="6527B793" w:rsidR="00BB2DCC" w:rsidRPr="00421E6D" w:rsidRDefault="00BB2DCC" w:rsidP="00421E6D">
      <w:pPr>
        <w:jc w:val="both"/>
        <w:rPr>
          <w:rFonts w:eastAsia="Calibri"/>
          <w:lang w:val="sq-AL"/>
        </w:rPr>
      </w:pPr>
      <w:r>
        <w:rPr>
          <w:rFonts w:eastAsia="Calibri"/>
          <w:lang w:val="sq-AL"/>
        </w:rPr>
        <w:t>- Akordimi i fondeve shtes</w:t>
      </w:r>
      <w:r w:rsidR="00F45E37">
        <w:rPr>
          <w:rFonts w:eastAsia="Calibri"/>
          <w:lang w:val="sq-AL"/>
        </w:rPr>
        <w:t>ë</w:t>
      </w:r>
      <w:r>
        <w:rPr>
          <w:rFonts w:eastAsia="Calibri"/>
          <w:lang w:val="sq-AL"/>
        </w:rPr>
        <w:t xml:space="preserve"> p</w:t>
      </w:r>
      <w:r w:rsidR="00F45E37">
        <w:rPr>
          <w:rFonts w:eastAsia="Calibri"/>
          <w:lang w:val="sq-AL"/>
        </w:rPr>
        <w:t>ë</w:t>
      </w:r>
      <w:r>
        <w:rPr>
          <w:rFonts w:eastAsia="Calibri"/>
          <w:lang w:val="sq-AL"/>
        </w:rPr>
        <w:t>r mbulimin e efekteve financiare nga rritja e pagave p</w:t>
      </w:r>
      <w:r w:rsidR="00F45E37">
        <w:rPr>
          <w:rFonts w:eastAsia="Calibri"/>
          <w:lang w:val="sq-AL"/>
        </w:rPr>
        <w:t>ë</w:t>
      </w:r>
      <w:r>
        <w:rPr>
          <w:rFonts w:eastAsia="Calibri"/>
          <w:lang w:val="sq-AL"/>
        </w:rPr>
        <w:t>r 67 mij</w:t>
      </w:r>
      <w:r w:rsidR="00F45E37">
        <w:rPr>
          <w:rFonts w:eastAsia="Calibri"/>
          <w:lang w:val="sq-AL"/>
        </w:rPr>
        <w:t>ë</w:t>
      </w:r>
      <w:r>
        <w:rPr>
          <w:rFonts w:eastAsia="Calibri"/>
          <w:lang w:val="sq-AL"/>
        </w:rPr>
        <w:t xml:space="preserve"> lek</w:t>
      </w:r>
      <w:r w:rsidR="00F45E37">
        <w:rPr>
          <w:rFonts w:eastAsia="Calibri"/>
          <w:lang w:val="sq-AL"/>
        </w:rPr>
        <w:t>ë</w:t>
      </w:r>
      <w:r>
        <w:rPr>
          <w:rFonts w:eastAsia="Calibri"/>
          <w:lang w:val="sq-AL"/>
        </w:rPr>
        <w:t>.</w:t>
      </w:r>
    </w:p>
    <w:p w14:paraId="4415C8FF" w14:textId="77777777" w:rsidR="00421E6D" w:rsidRDefault="00421E6D" w:rsidP="001742EF">
      <w:pPr>
        <w:tabs>
          <w:tab w:val="left" w:pos="2160"/>
        </w:tabs>
        <w:spacing w:line="276" w:lineRule="auto"/>
        <w:jc w:val="both"/>
        <w:rPr>
          <w:bCs/>
          <w:lang w:val="sq-AL"/>
        </w:rPr>
      </w:pPr>
    </w:p>
    <w:p w14:paraId="31081764" w14:textId="3381D075" w:rsidR="003F1EDA" w:rsidRPr="00421E6D" w:rsidRDefault="00421E6D" w:rsidP="00342362">
      <w:pPr>
        <w:spacing w:after="200" w:line="276" w:lineRule="auto"/>
        <w:jc w:val="both"/>
        <w:rPr>
          <w:rFonts w:asciiTheme="majorBidi" w:hAnsiTheme="majorBidi" w:cstheme="majorBidi"/>
          <w:b/>
          <w:lang w:val="sq-AL"/>
        </w:rPr>
      </w:pPr>
      <w:r>
        <w:rPr>
          <w:rFonts w:asciiTheme="majorBidi" w:hAnsiTheme="majorBidi" w:cstheme="majorBidi"/>
          <w:b/>
          <w:lang w:val="sq-AL"/>
        </w:rPr>
        <w:t>IV</w:t>
      </w:r>
      <w:r w:rsidR="00342362" w:rsidRPr="00421E6D">
        <w:rPr>
          <w:rFonts w:asciiTheme="majorBidi" w:hAnsiTheme="majorBidi" w:cstheme="majorBidi"/>
          <w:b/>
          <w:lang w:val="sq-AL"/>
        </w:rPr>
        <w:t xml:space="preserve">.    </w:t>
      </w:r>
      <w:r w:rsidR="003F1EDA" w:rsidRPr="00421E6D">
        <w:rPr>
          <w:rFonts w:asciiTheme="majorBidi" w:hAnsiTheme="majorBidi" w:cstheme="majorBidi"/>
          <w:b/>
          <w:lang w:val="sq-AL"/>
        </w:rPr>
        <w:t xml:space="preserve">Komente dhe rekomandime </w:t>
      </w:r>
    </w:p>
    <w:p w14:paraId="4570218D" w14:textId="6C3834E7" w:rsidR="00421E6D" w:rsidRDefault="003033DE" w:rsidP="00421E6D">
      <w:pPr>
        <w:pStyle w:val="ListParagraph"/>
        <w:numPr>
          <w:ilvl w:val="0"/>
          <w:numId w:val="5"/>
        </w:numPr>
        <w:tabs>
          <w:tab w:val="left" w:pos="2160"/>
        </w:tabs>
        <w:spacing w:line="360" w:lineRule="auto"/>
        <w:jc w:val="both"/>
        <w:rPr>
          <w:rFonts w:asciiTheme="majorBidi" w:hAnsiTheme="majorBidi" w:cstheme="majorBidi"/>
          <w:bCs/>
          <w:sz w:val="24"/>
          <w:szCs w:val="24"/>
          <w:lang w:val="sq-AL"/>
        </w:rPr>
      </w:pPr>
      <w:r w:rsidRPr="00BA4F3A">
        <w:rPr>
          <w:bCs/>
          <w:sz w:val="24"/>
          <w:szCs w:val="24"/>
          <w:lang w:val="sq-AL"/>
        </w:rPr>
        <w:t>Theksojmë se paraqitja</w:t>
      </w:r>
      <w:r w:rsidRPr="00BA4F3A">
        <w:rPr>
          <w:rFonts w:asciiTheme="majorBidi" w:hAnsiTheme="majorBidi" w:cstheme="majorBidi"/>
          <w:bCs/>
          <w:sz w:val="24"/>
          <w:szCs w:val="24"/>
          <w:lang w:val="sq-AL"/>
        </w:rPr>
        <w:t xml:space="preserve"> e </w:t>
      </w:r>
      <w:r w:rsidRPr="00BA4F3A">
        <w:rPr>
          <w:bCs/>
          <w:sz w:val="24"/>
          <w:szCs w:val="24"/>
          <w:lang w:val="sq-AL"/>
        </w:rPr>
        <w:t>informacionit</w:t>
      </w:r>
      <w:r w:rsidR="00694AF6">
        <w:rPr>
          <w:bCs/>
          <w:sz w:val="24"/>
          <w:szCs w:val="24"/>
          <w:lang w:val="sq-AL"/>
        </w:rPr>
        <w:t xml:space="preserve"> </w:t>
      </w:r>
      <w:r w:rsidRPr="00BA4F3A">
        <w:rPr>
          <w:bCs/>
          <w:sz w:val="24"/>
          <w:szCs w:val="24"/>
          <w:lang w:val="sq-AL"/>
        </w:rPr>
        <w:t xml:space="preserve">si dhe të dhënat e raportuara në raportin e monitorimit </w:t>
      </w:r>
      <w:r w:rsidR="00BB2DCC">
        <w:rPr>
          <w:rFonts w:asciiTheme="majorBidi" w:hAnsiTheme="majorBidi" w:cstheme="majorBidi"/>
          <w:bCs/>
          <w:sz w:val="24"/>
          <w:szCs w:val="24"/>
          <w:lang w:val="sq-AL"/>
        </w:rPr>
        <w:t>jan</w:t>
      </w:r>
      <w:r w:rsidR="00F45E37">
        <w:rPr>
          <w:rFonts w:asciiTheme="majorBidi" w:hAnsiTheme="majorBidi" w:cstheme="majorBidi"/>
          <w:bCs/>
          <w:sz w:val="24"/>
          <w:szCs w:val="24"/>
          <w:lang w:val="sq-AL"/>
        </w:rPr>
        <w:t>ë</w:t>
      </w:r>
      <w:r w:rsidRPr="00BA4F3A">
        <w:rPr>
          <w:rFonts w:asciiTheme="majorBidi" w:hAnsiTheme="majorBidi" w:cstheme="majorBidi"/>
          <w:bCs/>
          <w:sz w:val="24"/>
          <w:szCs w:val="24"/>
          <w:lang w:val="sq-AL"/>
        </w:rPr>
        <w:t xml:space="preserve"> në përputhje me përcaktimet e bëra në Udhëzimin nr. </w:t>
      </w:r>
      <w:r w:rsidR="001F5D10">
        <w:rPr>
          <w:rFonts w:asciiTheme="majorBidi" w:hAnsiTheme="majorBidi" w:cstheme="majorBidi"/>
          <w:bCs/>
          <w:sz w:val="24"/>
          <w:szCs w:val="24"/>
          <w:lang w:val="sq-AL"/>
        </w:rPr>
        <w:t>14</w:t>
      </w:r>
      <w:r w:rsidRPr="00BA4F3A">
        <w:rPr>
          <w:rFonts w:asciiTheme="majorBidi" w:hAnsiTheme="majorBidi" w:cstheme="majorBidi"/>
          <w:bCs/>
          <w:sz w:val="24"/>
          <w:szCs w:val="24"/>
          <w:lang w:val="sq-AL"/>
        </w:rPr>
        <w:t xml:space="preserve">, datë </w:t>
      </w:r>
      <w:r w:rsidR="001F5D10">
        <w:rPr>
          <w:rFonts w:asciiTheme="majorBidi" w:hAnsiTheme="majorBidi" w:cstheme="majorBidi"/>
          <w:bCs/>
          <w:sz w:val="24"/>
          <w:szCs w:val="24"/>
          <w:lang w:val="sq-AL"/>
        </w:rPr>
        <w:t>30.05.2023</w:t>
      </w:r>
      <w:r w:rsidRPr="00BA4F3A">
        <w:rPr>
          <w:rFonts w:asciiTheme="majorBidi" w:hAnsiTheme="majorBidi" w:cstheme="majorBidi"/>
          <w:bCs/>
          <w:sz w:val="24"/>
          <w:szCs w:val="24"/>
          <w:lang w:val="sq-AL"/>
        </w:rPr>
        <w:t xml:space="preserve"> “Për procedurat standarde të monitorimit të buxhetit në njësitë e Qeverisjes Qendrore”, specifikisht</w:t>
      </w:r>
      <w:r w:rsidRPr="00BA4F3A">
        <w:rPr>
          <w:bCs/>
          <w:sz w:val="24"/>
          <w:szCs w:val="24"/>
          <w:lang w:val="sq-AL"/>
        </w:rPr>
        <w:t xml:space="preserve"> sipas </w:t>
      </w:r>
      <w:r w:rsidRPr="00BA4F3A">
        <w:rPr>
          <w:bCs/>
          <w:sz w:val="24"/>
          <w:szCs w:val="24"/>
          <w:lang w:val="sq-AL"/>
        </w:rPr>
        <w:lastRenderedPageBreak/>
        <w:t xml:space="preserve">formateve të përcaktuara në paragrafin 49, </w:t>
      </w:r>
      <w:r w:rsidRPr="00BA4F3A">
        <w:rPr>
          <w:rFonts w:asciiTheme="majorBidi" w:hAnsiTheme="majorBidi" w:cstheme="majorBidi"/>
          <w:bCs/>
          <w:sz w:val="24"/>
          <w:szCs w:val="24"/>
          <w:lang w:val="sq-AL"/>
        </w:rPr>
        <w:t>në anekset përkatëse</w:t>
      </w:r>
      <w:r w:rsidR="001F5D10">
        <w:rPr>
          <w:rFonts w:asciiTheme="majorBidi" w:hAnsiTheme="majorBidi" w:cstheme="majorBidi"/>
          <w:bCs/>
          <w:sz w:val="24"/>
          <w:szCs w:val="24"/>
          <w:lang w:val="sq-AL"/>
        </w:rPr>
        <w:t xml:space="preserve">, </w:t>
      </w:r>
      <w:r w:rsidR="00BB2DCC">
        <w:rPr>
          <w:rFonts w:asciiTheme="majorBidi" w:hAnsiTheme="majorBidi" w:cstheme="majorBidi"/>
          <w:bCs/>
          <w:sz w:val="24"/>
          <w:szCs w:val="24"/>
          <w:lang w:val="sq-AL"/>
        </w:rPr>
        <w:t>t</w:t>
      </w:r>
      <w:r w:rsidR="00F45E37">
        <w:rPr>
          <w:rFonts w:asciiTheme="majorBidi" w:hAnsiTheme="majorBidi" w:cstheme="majorBidi"/>
          <w:bCs/>
          <w:sz w:val="24"/>
          <w:szCs w:val="24"/>
          <w:lang w:val="sq-AL"/>
        </w:rPr>
        <w:t>ë</w:t>
      </w:r>
      <w:r w:rsidR="00BB2DCC">
        <w:rPr>
          <w:rFonts w:asciiTheme="majorBidi" w:hAnsiTheme="majorBidi" w:cstheme="majorBidi"/>
          <w:bCs/>
          <w:sz w:val="24"/>
          <w:szCs w:val="24"/>
          <w:lang w:val="sq-AL"/>
        </w:rPr>
        <w:t xml:space="preserve"> </w:t>
      </w:r>
      <w:r w:rsidR="001F5D10">
        <w:rPr>
          <w:rFonts w:asciiTheme="majorBidi" w:hAnsiTheme="majorBidi" w:cstheme="majorBidi"/>
          <w:bCs/>
          <w:sz w:val="24"/>
          <w:szCs w:val="24"/>
          <w:lang w:val="sq-AL"/>
        </w:rPr>
        <w:t>gjener</w:t>
      </w:r>
      <w:r w:rsidR="00BB2DCC">
        <w:rPr>
          <w:rFonts w:asciiTheme="majorBidi" w:hAnsiTheme="majorBidi" w:cstheme="majorBidi"/>
          <w:bCs/>
          <w:sz w:val="24"/>
          <w:szCs w:val="24"/>
          <w:lang w:val="sq-AL"/>
        </w:rPr>
        <w:t>uara</w:t>
      </w:r>
      <w:r w:rsidR="001F5D10">
        <w:rPr>
          <w:rFonts w:asciiTheme="majorBidi" w:hAnsiTheme="majorBidi" w:cstheme="majorBidi"/>
          <w:bCs/>
          <w:sz w:val="24"/>
          <w:szCs w:val="24"/>
          <w:lang w:val="sq-AL"/>
        </w:rPr>
        <w:t xml:space="preserve"> nga sistemi AFMIS.</w:t>
      </w:r>
    </w:p>
    <w:p w14:paraId="39CA4A64" w14:textId="77777777" w:rsidR="00C2414C" w:rsidRDefault="00C2414C" w:rsidP="00AC0133">
      <w:pPr>
        <w:pStyle w:val="ListParagraph"/>
        <w:numPr>
          <w:ilvl w:val="0"/>
          <w:numId w:val="5"/>
        </w:numPr>
        <w:spacing w:line="360" w:lineRule="auto"/>
        <w:jc w:val="both"/>
        <w:rPr>
          <w:bCs/>
          <w:sz w:val="24"/>
          <w:szCs w:val="24"/>
          <w:lang w:val="sq-AL"/>
        </w:rPr>
      </w:pPr>
      <w:r w:rsidRPr="00C2414C">
        <w:rPr>
          <w:bCs/>
          <w:sz w:val="24"/>
          <w:szCs w:val="24"/>
          <w:lang w:val="sq-AL"/>
        </w:rPr>
        <w:t>Lidhur me përmirësimin e cilësisë së përmbajtjes së raportit të monitorimit rekomandojmë</w:t>
      </w:r>
      <w:r>
        <w:rPr>
          <w:bCs/>
          <w:sz w:val="24"/>
          <w:szCs w:val="24"/>
          <w:lang w:val="sq-AL"/>
        </w:rPr>
        <w:t>:</w:t>
      </w:r>
    </w:p>
    <w:p w14:paraId="625C1968" w14:textId="0C1B954B" w:rsidR="00421E6D" w:rsidRPr="00AC0133" w:rsidRDefault="00C2414C" w:rsidP="00AC0133">
      <w:pPr>
        <w:pStyle w:val="ListParagraph"/>
        <w:numPr>
          <w:ilvl w:val="0"/>
          <w:numId w:val="14"/>
        </w:numPr>
        <w:spacing w:line="360" w:lineRule="auto"/>
        <w:jc w:val="both"/>
        <w:rPr>
          <w:rFonts w:asciiTheme="majorBidi" w:hAnsiTheme="majorBidi" w:cstheme="majorBidi"/>
          <w:bCs/>
          <w:sz w:val="24"/>
          <w:szCs w:val="24"/>
          <w:lang w:val="sq-AL"/>
        </w:rPr>
      </w:pPr>
      <w:r>
        <w:rPr>
          <w:bCs/>
          <w:sz w:val="24"/>
          <w:szCs w:val="24"/>
          <w:lang w:val="sq-AL"/>
        </w:rPr>
        <w:t>P</w:t>
      </w:r>
      <w:r w:rsidR="00AC0133">
        <w:rPr>
          <w:bCs/>
          <w:sz w:val="24"/>
          <w:szCs w:val="24"/>
          <w:lang w:val="sq-AL"/>
        </w:rPr>
        <w:t>ë</w:t>
      </w:r>
      <w:r>
        <w:rPr>
          <w:bCs/>
          <w:sz w:val="24"/>
          <w:szCs w:val="24"/>
          <w:lang w:val="sq-AL"/>
        </w:rPr>
        <w:t>r treguesit e performanc</w:t>
      </w:r>
      <w:r w:rsidR="00AC0133">
        <w:rPr>
          <w:bCs/>
          <w:sz w:val="24"/>
          <w:szCs w:val="24"/>
          <w:lang w:val="sq-AL"/>
        </w:rPr>
        <w:t>ë</w:t>
      </w:r>
      <w:r>
        <w:rPr>
          <w:bCs/>
          <w:sz w:val="24"/>
          <w:szCs w:val="24"/>
          <w:lang w:val="sq-AL"/>
        </w:rPr>
        <w:t>s n</w:t>
      </w:r>
      <w:r w:rsidR="00AC0133">
        <w:rPr>
          <w:bCs/>
          <w:sz w:val="24"/>
          <w:szCs w:val="24"/>
          <w:lang w:val="sq-AL"/>
        </w:rPr>
        <w:t>ë</w:t>
      </w:r>
      <w:r>
        <w:rPr>
          <w:bCs/>
          <w:sz w:val="24"/>
          <w:szCs w:val="24"/>
          <w:lang w:val="sq-AL"/>
        </w:rPr>
        <w:t xml:space="preserve"> nivel q</w:t>
      </w:r>
      <w:r w:rsidR="00AC0133">
        <w:rPr>
          <w:bCs/>
          <w:sz w:val="24"/>
          <w:szCs w:val="24"/>
          <w:lang w:val="sq-AL"/>
        </w:rPr>
        <w:t>ë</w:t>
      </w:r>
      <w:r>
        <w:rPr>
          <w:bCs/>
          <w:sz w:val="24"/>
          <w:szCs w:val="24"/>
          <w:lang w:val="sq-AL"/>
        </w:rPr>
        <w:t>llimi</w:t>
      </w:r>
      <w:r w:rsidR="00AC0133">
        <w:rPr>
          <w:bCs/>
          <w:sz w:val="24"/>
          <w:szCs w:val="24"/>
          <w:lang w:val="sq-AL"/>
        </w:rPr>
        <w:t xml:space="preserve"> të shfaqura në </w:t>
      </w:r>
      <w:r>
        <w:rPr>
          <w:bCs/>
          <w:sz w:val="24"/>
          <w:szCs w:val="24"/>
          <w:lang w:val="sq-AL"/>
        </w:rPr>
        <w:t>aneksin 4 “</w:t>
      </w:r>
      <w:r w:rsidRPr="00AC0133">
        <w:rPr>
          <w:bCs/>
          <w:i/>
          <w:iCs/>
          <w:sz w:val="24"/>
          <w:szCs w:val="24"/>
          <w:lang w:val="sq-AL"/>
        </w:rPr>
        <w:t>Raporti i realizimit t</w:t>
      </w:r>
      <w:r w:rsidR="00AC0133">
        <w:rPr>
          <w:bCs/>
          <w:i/>
          <w:iCs/>
          <w:sz w:val="24"/>
          <w:szCs w:val="24"/>
          <w:lang w:val="sq-AL"/>
        </w:rPr>
        <w:t>ë</w:t>
      </w:r>
      <w:r w:rsidRPr="00AC0133">
        <w:rPr>
          <w:bCs/>
          <w:i/>
          <w:iCs/>
          <w:sz w:val="24"/>
          <w:szCs w:val="24"/>
          <w:lang w:val="sq-AL"/>
        </w:rPr>
        <w:t xml:space="preserve"> treguesve t</w:t>
      </w:r>
      <w:r w:rsidR="00AC0133">
        <w:rPr>
          <w:bCs/>
          <w:i/>
          <w:iCs/>
          <w:sz w:val="24"/>
          <w:szCs w:val="24"/>
          <w:lang w:val="sq-AL"/>
        </w:rPr>
        <w:t>ë</w:t>
      </w:r>
      <w:r w:rsidRPr="00AC0133">
        <w:rPr>
          <w:bCs/>
          <w:i/>
          <w:iCs/>
          <w:sz w:val="24"/>
          <w:szCs w:val="24"/>
          <w:lang w:val="sq-AL"/>
        </w:rPr>
        <w:t xml:space="preserve"> performanc</w:t>
      </w:r>
      <w:r w:rsidR="00AC0133">
        <w:rPr>
          <w:bCs/>
          <w:i/>
          <w:iCs/>
          <w:sz w:val="24"/>
          <w:szCs w:val="24"/>
          <w:lang w:val="sq-AL"/>
        </w:rPr>
        <w:t>ë</w:t>
      </w:r>
      <w:r w:rsidRPr="00AC0133">
        <w:rPr>
          <w:bCs/>
          <w:i/>
          <w:iCs/>
          <w:sz w:val="24"/>
          <w:szCs w:val="24"/>
          <w:lang w:val="sq-AL"/>
        </w:rPr>
        <w:t>s s</w:t>
      </w:r>
      <w:r w:rsidR="00AC0133">
        <w:rPr>
          <w:bCs/>
          <w:i/>
          <w:iCs/>
          <w:sz w:val="24"/>
          <w:szCs w:val="24"/>
          <w:lang w:val="sq-AL"/>
        </w:rPr>
        <w:t>ë</w:t>
      </w:r>
      <w:r w:rsidRPr="00AC0133">
        <w:rPr>
          <w:bCs/>
          <w:i/>
          <w:iCs/>
          <w:sz w:val="24"/>
          <w:szCs w:val="24"/>
          <w:lang w:val="sq-AL"/>
        </w:rPr>
        <w:t xml:space="preserve"> programit</w:t>
      </w:r>
      <w:r>
        <w:rPr>
          <w:bCs/>
          <w:sz w:val="24"/>
          <w:szCs w:val="24"/>
          <w:lang w:val="sq-AL"/>
        </w:rPr>
        <w:t>”, rekomandojm</w:t>
      </w:r>
      <w:r w:rsidR="00AC0133">
        <w:rPr>
          <w:bCs/>
          <w:sz w:val="24"/>
          <w:szCs w:val="24"/>
          <w:lang w:val="sq-AL"/>
        </w:rPr>
        <w:t>ë</w:t>
      </w:r>
      <w:r>
        <w:rPr>
          <w:bCs/>
          <w:sz w:val="24"/>
          <w:szCs w:val="24"/>
          <w:lang w:val="sq-AL"/>
        </w:rPr>
        <w:t xml:space="preserve"> </w:t>
      </w:r>
      <w:r w:rsidR="00AC0133">
        <w:rPr>
          <w:bCs/>
          <w:sz w:val="24"/>
          <w:szCs w:val="24"/>
          <w:lang w:val="sq-AL"/>
        </w:rPr>
        <w:t>përcaktimin e njësisë matëse në kolonën përkatëse, si edhe treguesit faktikë të plotësuar në këtë aneks duhet të jenë ato që janë realizuar faktikisht për periudhën nëse janë të matshme për periudhen. Vërejmë që treguesit faktikë janë plotësuar të barabartë me ato të planifikuar.</w:t>
      </w:r>
    </w:p>
    <w:p w14:paraId="49E0A146" w14:textId="5FCB7757" w:rsidR="0097651F" w:rsidRPr="00AC0133" w:rsidRDefault="00AC0133" w:rsidP="0097651F">
      <w:pPr>
        <w:pStyle w:val="ListParagraph"/>
        <w:numPr>
          <w:ilvl w:val="0"/>
          <w:numId w:val="14"/>
        </w:numPr>
        <w:spacing w:line="360" w:lineRule="auto"/>
        <w:jc w:val="both"/>
        <w:rPr>
          <w:rFonts w:asciiTheme="majorBidi" w:hAnsiTheme="majorBidi" w:cstheme="majorBidi"/>
          <w:bCs/>
          <w:sz w:val="24"/>
          <w:szCs w:val="24"/>
          <w:lang w:val="sq-AL"/>
        </w:rPr>
      </w:pPr>
      <w:r>
        <w:rPr>
          <w:bCs/>
          <w:sz w:val="24"/>
          <w:szCs w:val="24"/>
          <w:lang w:val="sq-AL"/>
        </w:rPr>
        <w:t xml:space="preserve">Për treguesit e performancës në nivel objektivi, rekomandojmë përcaktimin e njësisë matëse  </w:t>
      </w:r>
      <w:r>
        <w:rPr>
          <w:bCs/>
          <w:sz w:val="24"/>
          <w:szCs w:val="24"/>
          <w:lang w:val="sq-AL"/>
        </w:rPr>
        <w:t>n</w:t>
      </w:r>
      <w:r>
        <w:rPr>
          <w:bCs/>
          <w:sz w:val="24"/>
          <w:szCs w:val="24"/>
          <w:lang w:val="sq-AL"/>
        </w:rPr>
        <w:t>ë</w:t>
      </w:r>
      <w:r>
        <w:rPr>
          <w:bCs/>
          <w:sz w:val="24"/>
          <w:szCs w:val="24"/>
          <w:lang w:val="sq-AL"/>
        </w:rPr>
        <w:t xml:space="preserve"> kolon</w:t>
      </w:r>
      <w:r>
        <w:rPr>
          <w:bCs/>
          <w:sz w:val="24"/>
          <w:szCs w:val="24"/>
          <w:lang w:val="sq-AL"/>
        </w:rPr>
        <w:t>ë</w:t>
      </w:r>
      <w:r>
        <w:rPr>
          <w:bCs/>
          <w:sz w:val="24"/>
          <w:szCs w:val="24"/>
          <w:lang w:val="sq-AL"/>
        </w:rPr>
        <w:t>n p</w:t>
      </w:r>
      <w:r>
        <w:rPr>
          <w:bCs/>
          <w:sz w:val="24"/>
          <w:szCs w:val="24"/>
          <w:lang w:val="sq-AL"/>
        </w:rPr>
        <w:t>ë</w:t>
      </w:r>
      <w:r>
        <w:rPr>
          <w:bCs/>
          <w:sz w:val="24"/>
          <w:szCs w:val="24"/>
          <w:lang w:val="sq-AL"/>
        </w:rPr>
        <w:t>rkat</w:t>
      </w:r>
      <w:r>
        <w:rPr>
          <w:bCs/>
          <w:sz w:val="24"/>
          <w:szCs w:val="24"/>
          <w:lang w:val="sq-AL"/>
        </w:rPr>
        <w:t>ë</w:t>
      </w:r>
      <w:r>
        <w:rPr>
          <w:bCs/>
          <w:sz w:val="24"/>
          <w:szCs w:val="24"/>
          <w:lang w:val="sq-AL"/>
        </w:rPr>
        <w:t>se, si edhe treguesit faktik</w:t>
      </w:r>
      <w:r>
        <w:rPr>
          <w:bCs/>
          <w:sz w:val="24"/>
          <w:szCs w:val="24"/>
          <w:lang w:val="sq-AL"/>
        </w:rPr>
        <w:t>ë</w:t>
      </w:r>
      <w:r>
        <w:rPr>
          <w:bCs/>
          <w:sz w:val="24"/>
          <w:szCs w:val="24"/>
          <w:lang w:val="sq-AL"/>
        </w:rPr>
        <w:t xml:space="preserve"> t</w:t>
      </w:r>
      <w:r>
        <w:rPr>
          <w:bCs/>
          <w:sz w:val="24"/>
          <w:szCs w:val="24"/>
          <w:lang w:val="sq-AL"/>
        </w:rPr>
        <w:t>ë</w:t>
      </w:r>
      <w:r>
        <w:rPr>
          <w:bCs/>
          <w:sz w:val="24"/>
          <w:szCs w:val="24"/>
          <w:lang w:val="sq-AL"/>
        </w:rPr>
        <w:t xml:space="preserve"> plot</w:t>
      </w:r>
      <w:r>
        <w:rPr>
          <w:bCs/>
          <w:sz w:val="24"/>
          <w:szCs w:val="24"/>
          <w:lang w:val="sq-AL"/>
        </w:rPr>
        <w:t>ë</w:t>
      </w:r>
      <w:r>
        <w:rPr>
          <w:bCs/>
          <w:sz w:val="24"/>
          <w:szCs w:val="24"/>
          <w:lang w:val="sq-AL"/>
        </w:rPr>
        <w:t>suar n</w:t>
      </w:r>
      <w:r>
        <w:rPr>
          <w:bCs/>
          <w:sz w:val="24"/>
          <w:szCs w:val="24"/>
          <w:lang w:val="sq-AL"/>
        </w:rPr>
        <w:t>ë</w:t>
      </w:r>
      <w:r>
        <w:rPr>
          <w:bCs/>
          <w:sz w:val="24"/>
          <w:szCs w:val="24"/>
          <w:lang w:val="sq-AL"/>
        </w:rPr>
        <w:t xml:space="preserve"> k</w:t>
      </w:r>
      <w:r>
        <w:rPr>
          <w:bCs/>
          <w:sz w:val="24"/>
          <w:szCs w:val="24"/>
          <w:lang w:val="sq-AL"/>
        </w:rPr>
        <w:t>ë</w:t>
      </w:r>
      <w:r>
        <w:rPr>
          <w:bCs/>
          <w:sz w:val="24"/>
          <w:szCs w:val="24"/>
          <w:lang w:val="sq-AL"/>
        </w:rPr>
        <w:t>t</w:t>
      </w:r>
      <w:r>
        <w:rPr>
          <w:bCs/>
          <w:sz w:val="24"/>
          <w:szCs w:val="24"/>
          <w:lang w:val="sq-AL"/>
        </w:rPr>
        <w:t>ë</w:t>
      </w:r>
      <w:r>
        <w:rPr>
          <w:bCs/>
          <w:sz w:val="24"/>
          <w:szCs w:val="24"/>
          <w:lang w:val="sq-AL"/>
        </w:rPr>
        <w:t xml:space="preserve"> aneks duhet t</w:t>
      </w:r>
      <w:r>
        <w:rPr>
          <w:bCs/>
          <w:sz w:val="24"/>
          <w:szCs w:val="24"/>
          <w:lang w:val="sq-AL"/>
        </w:rPr>
        <w:t>ë</w:t>
      </w:r>
      <w:r>
        <w:rPr>
          <w:bCs/>
          <w:sz w:val="24"/>
          <w:szCs w:val="24"/>
          <w:lang w:val="sq-AL"/>
        </w:rPr>
        <w:t xml:space="preserve"> jen</w:t>
      </w:r>
      <w:r>
        <w:rPr>
          <w:bCs/>
          <w:sz w:val="24"/>
          <w:szCs w:val="24"/>
          <w:lang w:val="sq-AL"/>
        </w:rPr>
        <w:t>ë</w:t>
      </w:r>
      <w:r>
        <w:rPr>
          <w:bCs/>
          <w:sz w:val="24"/>
          <w:szCs w:val="24"/>
          <w:lang w:val="sq-AL"/>
        </w:rPr>
        <w:t xml:space="preserve"> ato q</w:t>
      </w:r>
      <w:r>
        <w:rPr>
          <w:bCs/>
          <w:sz w:val="24"/>
          <w:szCs w:val="24"/>
          <w:lang w:val="sq-AL"/>
        </w:rPr>
        <w:t>ë</w:t>
      </w:r>
      <w:r>
        <w:rPr>
          <w:bCs/>
          <w:sz w:val="24"/>
          <w:szCs w:val="24"/>
          <w:lang w:val="sq-AL"/>
        </w:rPr>
        <w:t xml:space="preserve"> jan</w:t>
      </w:r>
      <w:r>
        <w:rPr>
          <w:bCs/>
          <w:sz w:val="24"/>
          <w:szCs w:val="24"/>
          <w:lang w:val="sq-AL"/>
        </w:rPr>
        <w:t>ë</w:t>
      </w:r>
      <w:r>
        <w:rPr>
          <w:bCs/>
          <w:sz w:val="24"/>
          <w:szCs w:val="24"/>
          <w:lang w:val="sq-AL"/>
        </w:rPr>
        <w:t xml:space="preserve"> realizuar faktikisht p</w:t>
      </w:r>
      <w:r>
        <w:rPr>
          <w:bCs/>
          <w:sz w:val="24"/>
          <w:szCs w:val="24"/>
          <w:lang w:val="sq-AL"/>
        </w:rPr>
        <w:t>ë</w:t>
      </w:r>
      <w:r>
        <w:rPr>
          <w:bCs/>
          <w:sz w:val="24"/>
          <w:szCs w:val="24"/>
          <w:lang w:val="sq-AL"/>
        </w:rPr>
        <w:t>r periudh</w:t>
      </w:r>
      <w:r>
        <w:rPr>
          <w:bCs/>
          <w:sz w:val="24"/>
          <w:szCs w:val="24"/>
          <w:lang w:val="sq-AL"/>
        </w:rPr>
        <w:t>ë</w:t>
      </w:r>
      <w:r>
        <w:rPr>
          <w:bCs/>
          <w:sz w:val="24"/>
          <w:szCs w:val="24"/>
          <w:lang w:val="sq-AL"/>
        </w:rPr>
        <w:t>n n</w:t>
      </w:r>
      <w:r>
        <w:rPr>
          <w:bCs/>
          <w:sz w:val="24"/>
          <w:szCs w:val="24"/>
          <w:lang w:val="sq-AL"/>
        </w:rPr>
        <w:t>ë</w:t>
      </w:r>
      <w:r>
        <w:rPr>
          <w:bCs/>
          <w:sz w:val="24"/>
          <w:szCs w:val="24"/>
          <w:lang w:val="sq-AL"/>
        </w:rPr>
        <w:t>se jan</w:t>
      </w:r>
      <w:r>
        <w:rPr>
          <w:bCs/>
          <w:sz w:val="24"/>
          <w:szCs w:val="24"/>
          <w:lang w:val="sq-AL"/>
        </w:rPr>
        <w:t>ë</w:t>
      </w:r>
      <w:r>
        <w:rPr>
          <w:bCs/>
          <w:sz w:val="24"/>
          <w:szCs w:val="24"/>
          <w:lang w:val="sq-AL"/>
        </w:rPr>
        <w:t xml:space="preserve"> t</w:t>
      </w:r>
      <w:r>
        <w:rPr>
          <w:bCs/>
          <w:sz w:val="24"/>
          <w:szCs w:val="24"/>
          <w:lang w:val="sq-AL"/>
        </w:rPr>
        <w:t>ë</w:t>
      </w:r>
      <w:r>
        <w:rPr>
          <w:bCs/>
          <w:sz w:val="24"/>
          <w:szCs w:val="24"/>
          <w:lang w:val="sq-AL"/>
        </w:rPr>
        <w:t xml:space="preserve"> matshme p</w:t>
      </w:r>
      <w:r>
        <w:rPr>
          <w:bCs/>
          <w:sz w:val="24"/>
          <w:szCs w:val="24"/>
          <w:lang w:val="sq-AL"/>
        </w:rPr>
        <w:t>ë</w:t>
      </w:r>
      <w:r>
        <w:rPr>
          <w:bCs/>
          <w:sz w:val="24"/>
          <w:szCs w:val="24"/>
          <w:lang w:val="sq-AL"/>
        </w:rPr>
        <w:t>r periudh</w:t>
      </w:r>
      <w:r>
        <w:rPr>
          <w:bCs/>
          <w:sz w:val="24"/>
          <w:szCs w:val="24"/>
          <w:lang w:val="sq-AL"/>
        </w:rPr>
        <w:t>ë</w:t>
      </w:r>
      <w:r>
        <w:rPr>
          <w:bCs/>
          <w:sz w:val="24"/>
          <w:szCs w:val="24"/>
          <w:lang w:val="sq-AL"/>
        </w:rPr>
        <w:t>n.</w:t>
      </w:r>
      <w:r w:rsidR="0097651F" w:rsidRPr="0097651F">
        <w:rPr>
          <w:bCs/>
          <w:sz w:val="24"/>
          <w:szCs w:val="24"/>
          <w:lang w:val="sq-AL"/>
        </w:rPr>
        <w:t xml:space="preserve"> </w:t>
      </w:r>
      <w:r w:rsidR="0097651F">
        <w:rPr>
          <w:bCs/>
          <w:sz w:val="24"/>
          <w:szCs w:val="24"/>
          <w:lang w:val="sq-AL"/>
        </w:rPr>
        <w:t>Vërejmë që treguesit faktikë janë plotësuar të barabartë me ato të planifikuar.</w:t>
      </w:r>
    </w:p>
    <w:p w14:paraId="1486C1F2" w14:textId="77777777" w:rsidR="00F45E37" w:rsidRPr="00421E6D" w:rsidRDefault="00F45E37" w:rsidP="00F45E37">
      <w:pPr>
        <w:pStyle w:val="ListParagraph"/>
        <w:tabs>
          <w:tab w:val="left" w:pos="2160"/>
        </w:tabs>
        <w:spacing w:line="360" w:lineRule="auto"/>
        <w:ind w:left="360"/>
        <w:jc w:val="both"/>
        <w:rPr>
          <w:rFonts w:asciiTheme="majorBidi" w:hAnsiTheme="majorBidi" w:cstheme="majorBidi"/>
          <w:bCs/>
          <w:sz w:val="24"/>
          <w:szCs w:val="24"/>
          <w:lang w:val="sq-AL"/>
        </w:rPr>
      </w:pPr>
    </w:p>
    <w:p w14:paraId="1B103D0E" w14:textId="65FFC69E" w:rsidR="00D53AB3" w:rsidRPr="00D53AB3" w:rsidRDefault="00D53AB3" w:rsidP="00D53AB3">
      <w:pPr>
        <w:pStyle w:val="ListParagraph"/>
        <w:numPr>
          <w:ilvl w:val="0"/>
          <w:numId w:val="15"/>
        </w:numPr>
        <w:tabs>
          <w:tab w:val="left" w:pos="2160"/>
        </w:tabs>
        <w:spacing w:line="360" w:lineRule="auto"/>
        <w:jc w:val="both"/>
        <w:rPr>
          <w:rFonts w:asciiTheme="majorBidi" w:hAnsiTheme="majorBidi" w:cstheme="majorBidi"/>
          <w:b/>
          <w:sz w:val="24"/>
          <w:szCs w:val="24"/>
          <w:lang w:val="sq-AL"/>
        </w:rPr>
      </w:pPr>
      <w:r w:rsidRPr="00D53AB3">
        <w:rPr>
          <w:rFonts w:asciiTheme="majorBidi" w:hAnsiTheme="majorBidi" w:cstheme="majorBidi"/>
          <w:b/>
          <w:sz w:val="24"/>
          <w:szCs w:val="24"/>
          <w:lang w:val="sq-AL"/>
        </w:rPr>
        <w:t>Publikimi</w:t>
      </w:r>
    </w:p>
    <w:p w14:paraId="20738F77" w14:textId="629A2EBC" w:rsidR="00D53AB3" w:rsidRDefault="00D53AB3" w:rsidP="00D53AB3">
      <w:pPr>
        <w:tabs>
          <w:tab w:val="left" w:pos="2160"/>
        </w:tabs>
        <w:spacing w:line="360" w:lineRule="auto"/>
        <w:jc w:val="both"/>
        <w:rPr>
          <w:rFonts w:asciiTheme="majorBidi" w:hAnsiTheme="majorBidi" w:cstheme="majorBidi"/>
          <w:bCs/>
          <w:lang w:val="sq-AL"/>
        </w:rPr>
      </w:pPr>
      <w:r w:rsidRPr="00D53AB3">
        <w:rPr>
          <w:rFonts w:asciiTheme="majorBidi" w:hAnsiTheme="majorBidi" w:cstheme="majorBidi"/>
          <w:bCs/>
          <w:lang w:val="sq-AL"/>
        </w:rPr>
        <w:t xml:space="preserve">Raporti i Monitorimit për </w:t>
      </w:r>
      <w:r w:rsidR="00F45E37">
        <w:rPr>
          <w:rFonts w:asciiTheme="majorBidi" w:hAnsiTheme="majorBidi" w:cstheme="majorBidi"/>
          <w:bCs/>
          <w:lang w:val="sq-AL"/>
        </w:rPr>
        <w:t>8</w:t>
      </w:r>
      <w:r w:rsidRPr="00D53AB3">
        <w:rPr>
          <w:rFonts w:asciiTheme="majorBidi" w:hAnsiTheme="majorBidi" w:cstheme="majorBidi"/>
          <w:bCs/>
          <w:lang w:val="sq-AL"/>
        </w:rPr>
        <w:t xml:space="preserve"> mujorin e </w:t>
      </w:r>
      <w:r w:rsidR="00F45E37">
        <w:rPr>
          <w:rFonts w:asciiTheme="majorBidi" w:hAnsiTheme="majorBidi" w:cstheme="majorBidi"/>
          <w:bCs/>
          <w:lang w:val="sq-AL"/>
        </w:rPr>
        <w:t>vitit</w:t>
      </w:r>
      <w:r w:rsidRPr="00D53AB3">
        <w:rPr>
          <w:rFonts w:asciiTheme="majorBidi" w:hAnsiTheme="majorBidi" w:cstheme="majorBidi"/>
          <w:bCs/>
          <w:lang w:val="sq-AL"/>
        </w:rPr>
        <w:t xml:space="preserve"> 2024, është publikuar në faqen zyrtare të</w:t>
      </w:r>
      <w:r>
        <w:rPr>
          <w:rFonts w:asciiTheme="majorBidi" w:hAnsiTheme="majorBidi" w:cstheme="majorBidi"/>
          <w:bCs/>
          <w:lang w:val="sq-AL"/>
        </w:rPr>
        <w:t xml:space="preserve"> K</w:t>
      </w:r>
      <w:r w:rsidR="00AC0133">
        <w:rPr>
          <w:rFonts w:asciiTheme="majorBidi" w:hAnsiTheme="majorBidi" w:cstheme="majorBidi"/>
          <w:bCs/>
          <w:lang w:val="sq-AL"/>
        </w:rPr>
        <w:t>ë</w:t>
      </w:r>
      <w:r>
        <w:rPr>
          <w:rFonts w:asciiTheme="majorBidi" w:hAnsiTheme="majorBidi" w:cstheme="majorBidi"/>
          <w:bCs/>
          <w:lang w:val="sq-AL"/>
        </w:rPr>
        <w:t>shillit Komb</w:t>
      </w:r>
      <w:r w:rsidR="00F45E37">
        <w:rPr>
          <w:rFonts w:asciiTheme="majorBidi" w:hAnsiTheme="majorBidi" w:cstheme="majorBidi"/>
          <w:bCs/>
          <w:lang w:val="sq-AL"/>
        </w:rPr>
        <w:t>ë</w:t>
      </w:r>
      <w:r>
        <w:rPr>
          <w:rFonts w:asciiTheme="majorBidi" w:hAnsiTheme="majorBidi" w:cstheme="majorBidi"/>
          <w:bCs/>
          <w:lang w:val="sq-AL"/>
        </w:rPr>
        <w:t>tar t</w:t>
      </w:r>
      <w:r w:rsidR="00F45E37">
        <w:rPr>
          <w:rFonts w:asciiTheme="majorBidi" w:hAnsiTheme="majorBidi" w:cstheme="majorBidi"/>
          <w:bCs/>
          <w:lang w:val="sq-AL"/>
        </w:rPr>
        <w:t>ë</w:t>
      </w:r>
      <w:r>
        <w:rPr>
          <w:rFonts w:asciiTheme="majorBidi" w:hAnsiTheme="majorBidi" w:cstheme="majorBidi"/>
          <w:bCs/>
          <w:lang w:val="sq-AL"/>
        </w:rPr>
        <w:t xml:space="preserve"> Kontabilitetit</w:t>
      </w:r>
      <w:r w:rsidRPr="00D53AB3">
        <w:rPr>
          <w:rFonts w:asciiTheme="majorBidi" w:hAnsiTheme="majorBidi" w:cstheme="majorBidi"/>
          <w:bCs/>
          <w:lang w:val="sq-AL"/>
        </w:rPr>
        <w:t>, në linkun e m</w:t>
      </w:r>
      <w:r w:rsidR="00F45E37">
        <w:rPr>
          <w:rFonts w:asciiTheme="majorBidi" w:hAnsiTheme="majorBidi" w:cstheme="majorBidi"/>
          <w:bCs/>
          <w:lang w:val="sq-AL"/>
        </w:rPr>
        <w:t>ë</w:t>
      </w:r>
      <w:r w:rsidRPr="00D53AB3">
        <w:rPr>
          <w:rFonts w:asciiTheme="majorBidi" w:hAnsiTheme="majorBidi" w:cstheme="majorBidi"/>
          <w:bCs/>
          <w:lang w:val="sq-AL"/>
        </w:rPr>
        <w:t>posht</w:t>
      </w:r>
      <w:r w:rsidR="00F45E37">
        <w:rPr>
          <w:rFonts w:asciiTheme="majorBidi" w:hAnsiTheme="majorBidi" w:cstheme="majorBidi"/>
          <w:bCs/>
          <w:lang w:val="sq-AL"/>
        </w:rPr>
        <w:t>ë</w:t>
      </w:r>
      <w:r w:rsidRPr="00D53AB3">
        <w:rPr>
          <w:rFonts w:asciiTheme="majorBidi" w:hAnsiTheme="majorBidi" w:cstheme="majorBidi"/>
          <w:bCs/>
          <w:lang w:val="sq-AL"/>
        </w:rPr>
        <w:t>m;</w:t>
      </w:r>
    </w:p>
    <w:p w14:paraId="7D0A43EC" w14:textId="6EED8AA4" w:rsidR="00D53AB3" w:rsidRDefault="00AC0133" w:rsidP="00D53AB3">
      <w:pPr>
        <w:tabs>
          <w:tab w:val="left" w:pos="2160"/>
        </w:tabs>
        <w:spacing w:line="360" w:lineRule="auto"/>
        <w:jc w:val="both"/>
        <w:rPr>
          <w:rFonts w:asciiTheme="majorBidi" w:hAnsiTheme="majorBidi" w:cstheme="majorBidi"/>
          <w:bCs/>
          <w:lang w:val="sq-AL"/>
        </w:rPr>
      </w:pPr>
      <w:hyperlink r:id="rId6" w:history="1">
        <w:r w:rsidRPr="00173D00">
          <w:rPr>
            <w:rStyle w:val="Hyperlink"/>
            <w:rFonts w:asciiTheme="majorBidi" w:hAnsiTheme="majorBidi" w:cstheme="majorBidi"/>
            <w:bCs/>
            <w:lang w:val="sq-AL"/>
          </w:rPr>
          <w:t>https://www.kkk.gov.al/faqe.php?id=9&amp;l2=144&amp;gj=sh</w:t>
        </w:r>
      </w:hyperlink>
    </w:p>
    <w:p w14:paraId="67F4D6FF" w14:textId="77777777" w:rsidR="00D53AB3" w:rsidRDefault="00D53AB3" w:rsidP="00D53AB3">
      <w:pPr>
        <w:tabs>
          <w:tab w:val="left" w:pos="2160"/>
        </w:tabs>
        <w:spacing w:line="360" w:lineRule="auto"/>
        <w:jc w:val="both"/>
        <w:rPr>
          <w:rFonts w:asciiTheme="majorBidi" w:hAnsiTheme="majorBidi" w:cstheme="majorBidi"/>
          <w:bCs/>
          <w:lang w:val="sq-AL"/>
        </w:rPr>
      </w:pPr>
    </w:p>
    <w:p w14:paraId="64250ED1" w14:textId="77777777" w:rsidR="00D53AB3" w:rsidRPr="00D53AB3" w:rsidRDefault="00D53AB3" w:rsidP="00D53AB3">
      <w:pPr>
        <w:tabs>
          <w:tab w:val="left" w:pos="2160"/>
        </w:tabs>
        <w:spacing w:line="360" w:lineRule="auto"/>
        <w:jc w:val="both"/>
        <w:rPr>
          <w:rFonts w:asciiTheme="majorBidi" w:hAnsiTheme="majorBidi" w:cstheme="majorBidi"/>
          <w:bCs/>
          <w:lang w:val="sq-AL"/>
        </w:rPr>
      </w:pPr>
    </w:p>
    <w:sectPr w:rsidR="00D53AB3" w:rsidRPr="00D53AB3" w:rsidSect="0037703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28F"/>
    <w:multiLevelType w:val="hybridMultilevel"/>
    <w:tmpl w:val="1CD2E6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CAC4E36"/>
    <w:multiLevelType w:val="hybridMultilevel"/>
    <w:tmpl w:val="EEBC290A"/>
    <w:lvl w:ilvl="0" w:tplc="C0F4C9B0">
      <w:start w:val="29"/>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1B46CCC"/>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17CBC"/>
    <w:multiLevelType w:val="hybridMultilevel"/>
    <w:tmpl w:val="61D6B106"/>
    <w:lvl w:ilvl="0" w:tplc="2A00CDC6">
      <w:start w:val="1"/>
      <w:numFmt w:val="decimal"/>
      <w:lvlText w:val="%1."/>
      <w:lvlJc w:val="left"/>
      <w:pPr>
        <w:tabs>
          <w:tab w:val="num" w:pos="720"/>
        </w:tabs>
        <w:ind w:left="720" w:hanging="360"/>
      </w:pPr>
      <w:rPr>
        <w:rFonts w:ascii="Times New Roman" w:hAnsi="Times New Roman" w:cs="Times New Roman" w:hint="default"/>
        <w:b/>
        <w:sz w:val="24"/>
        <w:szCs w:val="24"/>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8C79E8"/>
    <w:multiLevelType w:val="hybridMultilevel"/>
    <w:tmpl w:val="0164A0FC"/>
    <w:lvl w:ilvl="0" w:tplc="A4549C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05C2"/>
    <w:multiLevelType w:val="hybridMultilevel"/>
    <w:tmpl w:val="5D389F62"/>
    <w:lvl w:ilvl="0" w:tplc="58F4E24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C0B08"/>
    <w:multiLevelType w:val="hybridMultilevel"/>
    <w:tmpl w:val="C22C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74E3"/>
    <w:multiLevelType w:val="hybridMultilevel"/>
    <w:tmpl w:val="36B63756"/>
    <w:lvl w:ilvl="0" w:tplc="0809000F">
      <w:start w:val="1"/>
      <w:numFmt w:val="decimal"/>
      <w:lvlText w:val="%1."/>
      <w:lvlJc w:val="left"/>
      <w:pPr>
        <w:tabs>
          <w:tab w:val="num" w:pos="720"/>
        </w:tabs>
        <w:ind w:left="720" w:hanging="360"/>
      </w:pPr>
    </w:lvl>
    <w:lvl w:ilvl="1" w:tplc="55A04000">
      <w:start w:val="1"/>
      <w:numFmt w:val="decimal"/>
      <w:lvlText w:val="%2."/>
      <w:lvlJc w:val="left"/>
      <w:pPr>
        <w:tabs>
          <w:tab w:val="num" w:pos="1530"/>
        </w:tabs>
        <w:ind w:left="1530" w:hanging="360"/>
      </w:pPr>
      <w:rPr>
        <w:rFonts w:asciiTheme="majorBidi" w:hAnsiTheme="majorBidi" w:cstheme="majorBidi"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F64BE6"/>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3606F2"/>
    <w:multiLevelType w:val="hybridMultilevel"/>
    <w:tmpl w:val="2A926F7A"/>
    <w:lvl w:ilvl="0" w:tplc="0409000D">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15:restartNumberingAfterBreak="0">
    <w:nsid w:val="41D96FF6"/>
    <w:multiLevelType w:val="hybridMultilevel"/>
    <w:tmpl w:val="B0FC50FE"/>
    <w:lvl w:ilvl="0" w:tplc="79AE62F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F60855"/>
    <w:multiLevelType w:val="hybridMultilevel"/>
    <w:tmpl w:val="0722E96E"/>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A80103"/>
    <w:multiLevelType w:val="hybridMultilevel"/>
    <w:tmpl w:val="A860F356"/>
    <w:lvl w:ilvl="0" w:tplc="69F445AE">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9D0DCA"/>
    <w:multiLevelType w:val="hybridMultilevel"/>
    <w:tmpl w:val="71EAA362"/>
    <w:lvl w:ilvl="0" w:tplc="5ECC2A84">
      <w:start w:val="1"/>
      <w:numFmt w:val="upperRoman"/>
      <w:lvlText w:val="%1."/>
      <w:lvlJc w:val="left"/>
      <w:pPr>
        <w:ind w:left="720" w:hanging="720"/>
      </w:pPr>
      <w:rPr>
        <w:rFonts w:asciiTheme="majorBidi" w:eastAsia="Times New Roman" w:hAnsiTheme="majorBidi" w:cstheme="majorBidi" w:hint="default"/>
        <w:color w:val="00206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421FF7"/>
    <w:multiLevelType w:val="hybridMultilevel"/>
    <w:tmpl w:val="92463010"/>
    <w:lvl w:ilvl="0" w:tplc="5D888B80">
      <w:start w:val="1"/>
      <w:numFmt w:val="upperRoman"/>
      <w:lvlText w:val="%1."/>
      <w:lvlJc w:val="left"/>
      <w:pPr>
        <w:ind w:left="720" w:hanging="720"/>
      </w:pPr>
      <w:rPr>
        <w:rFonts w:hint="default"/>
        <w:b/>
        <w:bCs/>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574AA1"/>
    <w:multiLevelType w:val="hybridMultilevel"/>
    <w:tmpl w:val="7EC01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178846">
    <w:abstractNumId w:val="7"/>
  </w:num>
  <w:num w:numId="2" w16cid:durableId="993224199">
    <w:abstractNumId w:val="14"/>
  </w:num>
  <w:num w:numId="3" w16cid:durableId="2107531196">
    <w:abstractNumId w:val="11"/>
  </w:num>
  <w:num w:numId="4" w16cid:durableId="482046073">
    <w:abstractNumId w:val="2"/>
  </w:num>
  <w:num w:numId="5" w16cid:durableId="831796077">
    <w:abstractNumId w:val="5"/>
  </w:num>
  <w:num w:numId="6" w16cid:durableId="618493845">
    <w:abstractNumId w:val="8"/>
  </w:num>
  <w:num w:numId="7" w16cid:durableId="1483233715">
    <w:abstractNumId w:val="3"/>
  </w:num>
  <w:num w:numId="8" w16cid:durableId="895698597">
    <w:abstractNumId w:val="6"/>
  </w:num>
  <w:num w:numId="9" w16cid:durableId="73628192">
    <w:abstractNumId w:val="9"/>
  </w:num>
  <w:num w:numId="10" w16cid:durableId="2131971590">
    <w:abstractNumId w:val="0"/>
  </w:num>
  <w:num w:numId="11" w16cid:durableId="369260611">
    <w:abstractNumId w:val="15"/>
  </w:num>
  <w:num w:numId="12" w16cid:durableId="143549128">
    <w:abstractNumId w:val="10"/>
  </w:num>
  <w:num w:numId="13" w16cid:durableId="366299838">
    <w:abstractNumId w:val="13"/>
  </w:num>
  <w:num w:numId="14" w16cid:durableId="748962916">
    <w:abstractNumId w:val="1"/>
  </w:num>
  <w:num w:numId="15" w16cid:durableId="774062055">
    <w:abstractNumId w:val="12"/>
  </w:num>
  <w:num w:numId="16" w16cid:durableId="2068720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EF"/>
    <w:rsid w:val="00023A6B"/>
    <w:rsid w:val="00030613"/>
    <w:rsid w:val="00034E3C"/>
    <w:rsid w:val="000364A2"/>
    <w:rsid w:val="0004094C"/>
    <w:rsid w:val="00057C31"/>
    <w:rsid w:val="000D6865"/>
    <w:rsid w:val="00117FCD"/>
    <w:rsid w:val="001526FC"/>
    <w:rsid w:val="001742EF"/>
    <w:rsid w:val="001B084C"/>
    <w:rsid w:val="001C1B7F"/>
    <w:rsid w:val="001F5D10"/>
    <w:rsid w:val="00214B21"/>
    <w:rsid w:val="002636ED"/>
    <w:rsid w:val="00267899"/>
    <w:rsid w:val="00271FB4"/>
    <w:rsid w:val="0029364F"/>
    <w:rsid w:val="00293AB6"/>
    <w:rsid w:val="002C4AD4"/>
    <w:rsid w:val="002E1989"/>
    <w:rsid w:val="003033DE"/>
    <w:rsid w:val="00324143"/>
    <w:rsid w:val="00342362"/>
    <w:rsid w:val="00362A27"/>
    <w:rsid w:val="00376105"/>
    <w:rsid w:val="0037703F"/>
    <w:rsid w:val="0039549C"/>
    <w:rsid w:val="003B5D35"/>
    <w:rsid w:val="003B79C1"/>
    <w:rsid w:val="003F1EDA"/>
    <w:rsid w:val="00410EC1"/>
    <w:rsid w:val="004209AC"/>
    <w:rsid w:val="00421E6D"/>
    <w:rsid w:val="004223EC"/>
    <w:rsid w:val="004667AC"/>
    <w:rsid w:val="00466B8E"/>
    <w:rsid w:val="004824E2"/>
    <w:rsid w:val="004B1112"/>
    <w:rsid w:val="004D3401"/>
    <w:rsid w:val="004E403D"/>
    <w:rsid w:val="004F4D2E"/>
    <w:rsid w:val="00515346"/>
    <w:rsid w:val="00546286"/>
    <w:rsid w:val="00560A09"/>
    <w:rsid w:val="00596C76"/>
    <w:rsid w:val="005D134C"/>
    <w:rsid w:val="005D40BF"/>
    <w:rsid w:val="005D63E6"/>
    <w:rsid w:val="005F5985"/>
    <w:rsid w:val="00602DFF"/>
    <w:rsid w:val="006372F5"/>
    <w:rsid w:val="006532FE"/>
    <w:rsid w:val="00661845"/>
    <w:rsid w:val="00674878"/>
    <w:rsid w:val="00694AF6"/>
    <w:rsid w:val="006B6C9F"/>
    <w:rsid w:val="006E1988"/>
    <w:rsid w:val="006E6EF7"/>
    <w:rsid w:val="006F660C"/>
    <w:rsid w:val="00720735"/>
    <w:rsid w:val="00733808"/>
    <w:rsid w:val="00735747"/>
    <w:rsid w:val="00742102"/>
    <w:rsid w:val="007453BA"/>
    <w:rsid w:val="00782453"/>
    <w:rsid w:val="00786E5E"/>
    <w:rsid w:val="00786E94"/>
    <w:rsid w:val="007E3096"/>
    <w:rsid w:val="00853849"/>
    <w:rsid w:val="00861559"/>
    <w:rsid w:val="00875F16"/>
    <w:rsid w:val="008824C7"/>
    <w:rsid w:val="00883C42"/>
    <w:rsid w:val="0088475B"/>
    <w:rsid w:val="008D3665"/>
    <w:rsid w:val="008E71D5"/>
    <w:rsid w:val="00912624"/>
    <w:rsid w:val="0097651F"/>
    <w:rsid w:val="00986709"/>
    <w:rsid w:val="00987865"/>
    <w:rsid w:val="009A0E10"/>
    <w:rsid w:val="009F011E"/>
    <w:rsid w:val="00A035CC"/>
    <w:rsid w:val="00A22663"/>
    <w:rsid w:val="00A37F71"/>
    <w:rsid w:val="00AC0133"/>
    <w:rsid w:val="00AC7B0D"/>
    <w:rsid w:val="00AF5EE8"/>
    <w:rsid w:val="00B0027F"/>
    <w:rsid w:val="00B25EEF"/>
    <w:rsid w:val="00B3433C"/>
    <w:rsid w:val="00B61C60"/>
    <w:rsid w:val="00B62624"/>
    <w:rsid w:val="00B80387"/>
    <w:rsid w:val="00BA4F3A"/>
    <w:rsid w:val="00BB2DCC"/>
    <w:rsid w:val="00BE5668"/>
    <w:rsid w:val="00BF36FA"/>
    <w:rsid w:val="00BF76F9"/>
    <w:rsid w:val="00C2414C"/>
    <w:rsid w:val="00C3000A"/>
    <w:rsid w:val="00C35ED5"/>
    <w:rsid w:val="00C71079"/>
    <w:rsid w:val="00CA669B"/>
    <w:rsid w:val="00CB3CC3"/>
    <w:rsid w:val="00CD22C9"/>
    <w:rsid w:val="00D04CC7"/>
    <w:rsid w:val="00D53AB3"/>
    <w:rsid w:val="00D62933"/>
    <w:rsid w:val="00D64392"/>
    <w:rsid w:val="00D76820"/>
    <w:rsid w:val="00D77138"/>
    <w:rsid w:val="00D868FE"/>
    <w:rsid w:val="00DD1B55"/>
    <w:rsid w:val="00DE5DA2"/>
    <w:rsid w:val="00DF642E"/>
    <w:rsid w:val="00E16744"/>
    <w:rsid w:val="00E2503B"/>
    <w:rsid w:val="00E53333"/>
    <w:rsid w:val="00E63E62"/>
    <w:rsid w:val="00E91C5C"/>
    <w:rsid w:val="00EB45AE"/>
    <w:rsid w:val="00ED17CA"/>
    <w:rsid w:val="00F31F4D"/>
    <w:rsid w:val="00F37586"/>
    <w:rsid w:val="00F37CE9"/>
    <w:rsid w:val="00F45E37"/>
    <w:rsid w:val="00F478C1"/>
    <w:rsid w:val="00F75036"/>
    <w:rsid w:val="00FC6D78"/>
    <w:rsid w:val="00FE4179"/>
    <w:rsid w:val="00FE46CA"/>
    <w:rsid w:val="00FF4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3556"/>
  <w15:docId w15:val="{B0876BC0-34B1-4791-91AB-83298141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qFormat/>
    <w:rsid w:val="00B25EEF"/>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uiPriority w:val="11"/>
    <w:rsid w:val="00B25EE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99"/>
    <w:locked/>
    <w:rsid w:val="00B25EEF"/>
    <w:rPr>
      <w:rFonts w:ascii="Arial" w:eastAsia="SimSun" w:hAnsi="Arial" w:cs="Arial"/>
      <w:sz w:val="24"/>
      <w:szCs w:val="24"/>
      <w:lang w:val="en-GB" w:eastAsia="zh-CN"/>
    </w:rPr>
  </w:style>
  <w:style w:type="paragraph" w:styleId="ListParagraph">
    <w:name w:val="List Paragraph"/>
    <w:basedOn w:val="Normal"/>
    <w:link w:val="ListParagraphChar"/>
    <w:uiPriority w:val="34"/>
    <w:qFormat/>
    <w:rsid w:val="0029364F"/>
    <w:pPr>
      <w:ind w:left="720"/>
      <w:contextualSpacing/>
    </w:pPr>
    <w:rPr>
      <w:rFonts w:eastAsia="MS Mincho"/>
      <w:sz w:val="20"/>
      <w:szCs w:val="20"/>
    </w:rPr>
  </w:style>
  <w:style w:type="character" w:customStyle="1" w:styleId="ListParagraphChar">
    <w:name w:val="List Paragraph Char"/>
    <w:link w:val="ListParagraph"/>
    <w:uiPriority w:val="34"/>
    <w:locked/>
    <w:rsid w:val="00324143"/>
    <w:rPr>
      <w:rFonts w:ascii="Times New Roman" w:eastAsia="MS Mincho" w:hAnsi="Times New Roman" w:cs="Times New Roman"/>
      <w:sz w:val="20"/>
      <w:szCs w:val="20"/>
    </w:rPr>
  </w:style>
  <w:style w:type="character" w:styleId="Hyperlink">
    <w:name w:val="Hyperlink"/>
    <w:basedOn w:val="DefaultParagraphFont"/>
    <w:uiPriority w:val="99"/>
    <w:unhideWhenUsed/>
    <w:rsid w:val="00735747"/>
    <w:rPr>
      <w:color w:val="0000FF" w:themeColor="hyperlink"/>
      <w:u w:val="single"/>
    </w:rPr>
  </w:style>
  <w:style w:type="paragraph" w:styleId="BalloonText">
    <w:name w:val="Balloon Text"/>
    <w:basedOn w:val="Normal"/>
    <w:link w:val="BalloonTextChar"/>
    <w:uiPriority w:val="99"/>
    <w:semiHidden/>
    <w:unhideWhenUsed/>
    <w:rsid w:val="00267899"/>
    <w:rPr>
      <w:rFonts w:ascii="Tahoma" w:hAnsi="Tahoma" w:cs="Tahoma"/>
      <w:sz w:val="16"/>
      <w:szCs w:val="16"/>
    </w:rPr>
  </w:style>
  <w:style w:type="character" w:customStyle="1" w:styleId="BalloonTextChar">
    <w:name w:val="Balloon Text Char"/>
    <w:basedOn w:val="DefaultParagraphFont"/>
    <w:link w:val="BalloonText"/>
    <w:uiPriority w:val="99"/>
    <w:semiHidden/>
    <w:rsid w:val="0026789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77138"/>
    <w:rPr>
      <w:color w:val="800080" w:themeColor="followedHyperlink"/>
      <w:u w:val="single"/>
    </w:rPr>
  </w:style>
  <w:style w:type="character" w:styleId="UnresolvedMention">
    <w:name w:val="Unresolved Mention"/>
    <w:basedOn w:val="DefaultParagraphFont"/>
    <w:uiPriority w:val="99"/>
    <w:semiHidden/>
    <w:unhideWhenUsed/>
    <w:rsid w:val="00D5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406">
      <w:bodyDiv w:val="1"/>
      <w:marLeft w:val="0"/>
      <w:marRight w:val="0"/>
      <w:marTop w:val="0"/>
      <w:marBottom w:val="0"/>
      <w:divBdr>
        <w:top w:val="none" w:sz="0" w:space="0" w:color="auto"/>
        <w:left w:val="none" w:sz="0" w:space="0" w:color="auto"/>
        <w:bottom w:val="none" w:sz="0" w:space="0" w:color="auto"/>
        <w:right w:val="none" w:sz="0" w:space="0" w:color="auto"/>
      </w:divBdr>
    </w:div>
    <w:div w:id="74590781">
      <w:bodyDiv w:val="1"/>
      <w:marLeft w:val="0"/>
      <w:marRight w:val="0"/>
      <w:marTop w:val="0"/>
      <w:marBottom w:val="0"/>
      <w:divBdr>
        <w:top w:val="none" w:sz="0" w:space="0" w:color="auto"/>
        <w:left w:val="none" w:sz="0" w:space="0" w:color="auto"/>
        <w:bottom w:val="none" w:sz="0" w:space="0" w:color="auto"/>
        <w:right w:val="none" w:sz="0" w:space="0" w:color="auto"/>
      </w:divBdr>
    </w:div>
    <w:div w:id="86580200">
      <w:bodyDiv w:val="1"/>
      <w:marLeft w:val="0"/>
      <w:marRight w:val="0"/>
      <w:marTop w:val="0"/>
      <w:marBottom w:val="0"/>
      <w:divBdr>
        <w:top w:val="none" w:sz="0" w:space="0" w:color="auto"/>
        <w:left w:val="none" w:sz="0" w:space="0" w:color="auto"/>
        <w:bottom w:val="none" w:sz="0" w:space="0" w:color="auto"/>
        <w:right w:val="none" w:sz="0" w:space="0" w:color="auto"/>
      </w:divBdr>
    </w:div>
    <w:div w:id="112940399">
      <w:bodyDiv w:val="1"/>
      <w:marLeft w:val="0"/>
      <w:marRight w:val="0"/>
      <w:marTop w:val="0"/>
      <w:marBottom w:val="0"/>
      <w:divBdr>
        <w:top w:val="none" w:sz="0" w:space="0" w:color="auto"/>
        <w:left w:val="none" w:sz="0" w:space="0" w:color="auto"/>
        <w:bottom w:val="none" w:sz="0" w:space="0" w:color="auto"/>
        <w:right w:val="none" w:sz="0" w:space="0" w:color="auto"/>
      </w:divBdr>
    </w:div>
    <w:div w:id="150872006">
      <w:bodyDiv w:val="1"/>
      <w:marLeft w:val="0"/>
      <w:marRight w:val="0"/>
      <w:marTop w:val="0"/>
      <w:marBottom w:val="0"/>
      <w:divBdr>
        <w:top w:val="none" w:sz="0" w:space="0" w:color="auto"/>
        <w:left w:val="none" w:sz="0" w:space="0" w:color="auto"/>
        <w:bottom w:val="none" w:sz="0" w:space="0" w:color="auto"/>
        <w:right w:val="none" w:sz="0" w:space="0" w:color="auto"/>
      </w:divBdr>
    </w:div>
    <w:div w:id="339702737">
      <w:bodyDiv w:val="1"/>
      <w:marLeft w:val="0"/>
      <w:marRight w:val="0"/>
      <w:marTop w:val="0"/>
      <w:marBottom w:val="0"/>
      <w:divBdr>
        <w:top w:val="none" w:sz="0" w:space="0" w:color="auto"/>
        <w:left w:val="none" w:sz="0" w:space="0" w:color="auto"/>
        <w:bottom w:val="none" w:sz="0" w:space="0" w:color="auto"/>
        <w:right w:val="none" w:sz="0" w:space="0" w:color="auto"/>
      </w:divBdr>
    </w:div>
    <w:div w:id="400517342">
      <w:bodyDiv w:val="1"/>
      <w:marLeft w:val="0"/>
      <w:marRight w:val="0"/>
      <w:marTop w:val="0"/>
      <w:marBottom w:val="0"/>
      <w:divBdr>
        <w:top w:val="none" w:sz="0" w:space="0" w:color="auto"/>
        <w:left w:val="none" w:sz="0" w:space="0" w:color="auto"/>
        <w:bottom w:val="none" w:sz="0" w:space="0" w:color="auto"/>
        <w:right w:val="none" w:sz="0" w:space="0" w:color="auto"/>
      </w:divBdr>
    </w:div>
    <w:div w:id="491409257">
      <w:bodyDiv w:val="1"/>
      <w:marLeft w:val="0"/>
      <w:marRight w:val="0"/>
      <w:marTop w:val="0"/>
      <w:marBottom w:val="0"/>
      <w:divBdr>
        <w:top w:val="none" w:sz="0" w:space="0" w:color="auto"/>
        <w:left w:val="none" w:sz="0" w:space="0" w:color="auto"/>
        <w:bottom w:val="none" w:sz="0" w:space="0" w:color="auto"/>
        <w:right w:val="none" w:sz="0" w:space="0" w:color="auto"/>
      </w:divBdr>
    </w:div>
    <w:div w:id="592477664">
      <w:bodyDiv w:val="1"/>
      <w:marLeft w:val="0"/>
      <w:marRight w:val="0"/>
      <w:marTop w:val="0"/>
      <w:marBottom w:val="0"/>
      <w:divBdr>
        <w:top w:val="none" w:sz="0" w:space="0" w:color="auto"/>
        <w:left w:val="none" w:sz="0" w:space="0" w:color="auto"/>
        <w:bottom w:val="none" w:sz="0" w:space="0" w:color="auto"/>
        <w:right w:val="none" w:sz="0" w:space="0" w:color="auto"/>
      </w:divBdr>
    </w:div>
    <w:div w:id="601449489">
      <w:bodyDiv w:val="1"/>
      <w:marLeft w:val="0"/>
      <w:marRight w:val="0"/>
      <w:marTop w:val="0"/>
      <w:marBottom w:val="0"/>
      <w:divBdr>
        <w:top w:val="none" w:sz="0" w:space="0" w:color="auto"/>
        <w:left w:val="none" w:sz="0" w:space="0" w:color="auto"/>
        <w:bottom w:val="none" w:sz="0" w:space="0" w:color="auto"/>
        <w:right w:val="none" w:sz="0" w:space="0" w:color="auto"/>
      </w:divBdr>
    </w:div>
    <w:div w:id="634337752">
      <w:bodyDiv w:val="1"/>
      <w:marLeft w:val="0"/>
      <w:marRight w:val="0"/>
      <w:marTop w:val="0"/>
      <w:marBottom w:val="0"/>
      <w:divBdr>
        <w:top w:val="none" w:sz="0" w:space="0" w:color="auto"/>
        <w:left w:val="none" w:sz="0" w:space="0" w:color="auto"/>
        <w:bottom w:val="none" w:sz="0" w:space="0" w:color="auto"/>
        <w:right w:val="none" w:sz="0" w:space="0" w:color="auto"/>
      </w:divBdr>
    </w:div>
    <w:div w:id="641547554">
      <w:bodyDiv w:val="1"/>
      <w:marLeft w:val="0"/>
      <w:marRight w:val="0"/>
      <w:marTop w:val="0"/>
      <w:marBottom w:val="0"/>
      <w:divBdr>
        <w:top w:val="none" w:sz="0" w:space="0" w:color="auto"/>
        <w:left w:val="none" w:sz="0" w:space="0" w:color="auto"/>
        <w:bottom w:val="none" w:sz="0" w:space="0" w:color="auto"/>
        <w:right w:val="none" w:sz="0" w:space="0" w:color="auto"/>
      </w:divBdr>
    </w:div>
    <w:div w:id="715085291">
      <w:bodyDiv w:val="1"/>
      <w:marLeft w:val="0"/>
      <w:marRight w:val="0"/>
      <w:marTop w:val="0"/>
      <w:marBottom w:val="0"/>
      <w:divBdr>
        <w:top w:val="none" w:sz="0" w:space="0" w:color="auto"/>
        <w:left w:val="none" w:sz="0" w:space="0" w:color="auto"/>
        <w:bottom w:val="none" w:sz="0" w:space="0" w:color="auto"/>
        <w:right w:val="none" w:sz="0" w:space="0" w:color="auto"/>
      </w:divBdr>
    </w:div>
    <w:div w:id="733509030">
      <w:bodyDiv w:val="1"/>
      <w:marLeft w:val="0"/>
      <w:marRight w:val="0"/>
      <w:marTop w:val="0"/>
      <w:marBottom w:val="0"/>
      <w:divBdr>
        <w:top w:val="none" w:sz="0" w:space="0" w:color="auto"/>
        <w:left w:val="none" w:sz="0" w:space="0" w:color="auto"/>
        <w:bottom w:val="none" w:sz="0" w:space="0" w:color="auto"/>
        <w:right w:val="none" w:sz="0" w:space="0" w:color="auto"/>
      </w:divBdr>
    </w:div>
    <w:div w:id="766846845">
      <w:bodyDiv w:val="1"/>
      <w:marLeft w:val="0"/>
      <w:marRight w:val="0"/>
      <w:marTop w:val="0"/>
      <w:marBottom w:val="0"/>
      <w:divBdr>
        <w:top w:val="none" w:sz="0" w:space="0" w:color="auto"/>
        <w:left w:val="none" w:sz="0" w:space="0" w:color="auto"/>
        <w:bottom w:val="none" w:sz="0" w:space="0" w:color="auto"/>
        <w:right w:val="none" w:sz="0" w:space="0" w:color="auto"/>
      </w:divBdr>
    </w:div>
    <w:div w:id="860321835">
      <w:bodyDiv w:val="1"/>
      <w:marLeft w:val="0"/>
      <w:marRight w:val="0"/>
      <w:marTop w:val="0"/>
      <w:marBottom w:val="0"/>
      <w:divBdr>
        <w:top w:val="none" w:sz="0" w:space="0" w:color="auto"/>
        <w:left w:val="none" w:sz="0" w:space="0" w:color="auto"/>
        <w:bottom w:val="none" w:sz="0" w:space="0" w:color="auto"/>
        <w:right w:val="none" w:sz="0" w:space="0" w:color="auto"/>
      </w:divBdr>
    </w:div>
    <w:div w:id="1032418746">
      <w:bodyDiv w:val="1"/>
      <w:marLeft w:val="0"/>
      <w:marRight w:val="0"/>
      <w:marTop w:val="0"/>
      <w:marBottom w:val="0"/>
      <w:divBdr>
        <w:top w:val="none" w:sz="0" w:space="0" w:color="auto"/>
        <w:left w:val="none" w:sz="0" w:space="0" w:color="auto"/>
        <w:bottom w:val="none" w:sz="0" w:space="0" w:color="auto"/>
        <w:right w:val="none" w:sz="0" w:space="0" w:color="auto"/>
      </w:divBdr>
    </w:div>
    <w:div w:id="1090008913">
      <w:bodyDiv w:val="1"/>
      <w:marLeft w:val="0"/>
      <w:marRight w:val="0"/>
      <w:marTop w:val="0"/>
      <w:marBottom w:val="0"/>
      <w:divBdr>
        <w:top w:val="none" w:sz="0" w:space="0" w:color="auto"/>
        <w:left w:val="none" w:sz="0" w:space="0" w:color="auto"/>
        <w:bottom w:val="none" w:sz="0" w:space="0" w:color="auto"/>
        <w:right w:val="none" w:sz="0" w:space="0" w:color="auto"/>
      </w:divBdr>
    </w:div>
    <w:div w:id="1168401704">
      <w:bodyDiv w:val="1"/>
      <w:marLeft w:val="0"/>
      <w:marRight w:val="0"/>
      <w:marTop w:val="0"/>
      <w:marBottom w:val="0"/>
      <w:divBdr>
        <w:top w:val="none" w:sz="0" w:space="0" w:color="auto"/>
        <w:left w:val="none" w:sz="0" w:space="0" w:color="auto"/>
        <w:bottom w:val="none" w:sz="0" w:space="0" w:color="auto"/>
        <w:right w:val="none" w:sz="0" w:space="0" w:color="auto"/>
      </w:divBdr>
    </w:div>
    <w:div w:id="1178500647">
      <w:bodyDiv w:val="1"/>
      <w:marLeft w:val="0"/>
      <w:marRight w:val="0"/>
      <w:marTop w:val="0"/>
      <w:marBottom w:val="0"/>
      <w:divBdr>
        <w:top w:val="none" w:sz="0" w:space="0" w:color="auto"/>
        <w:left w:val="none" w:sz="0" w:space="0" w:color="auto"/>
        <w:bottom w:val="none" w:sz="0" w:space="0" w:color="auto"/>
        <w:right w:val="none" w:sz="0" w:space="0" w:color="auto"/>
      </w:divBdr>
    </w:div>
    <w:div w:id="1180192654">
      <w:bodyDiv w:val="1"/>
      <w:marLeft w:val="0"/>
      <w:marRight w:val="0"/>
      <w:marTop w:val="0"/>
      <w:marBottom w:val="0"/>
      <w:divBdr>
        <w:top w:val="none" w:sz="0" w:space="0" w:color="auto"/>
        <w:left w:val="none" w:sz="0" w:space="0" w:color="auto"/>
        <w:bottom w:val="none" w:sz="0" w:space="0" w:color="auto"/>
        <w:right w:val="none" w:sz="0" w:space="0" w:color="auto"/>
      </w:divBdr>
    </w:div>
    <w:div w:id="1315068183">
      <w:bodyDiv w:val="1"/>
      <w:marLeft w:val="0"/>
      <w:marRight w:val="0"/>
      <w:marTop w:val="0"/>
      <w:marBottom w:val="0"/>
      <w:divBdr>
        <w:top w:val="none" w:sz="0" w:space="0" w:color="auto"/>
        <w:left w:val="none" w:sz="0" w:space="0" w:color="auto"/>
        <w:bottom w:val="none" w:sz="0" w:space="0" w:color="auto"/>
        <w:right w:val="none" w:sz="0" w:space="0" w:color="auto"/>
      </w:divBdr>
    </w:div>
    <w:div w:id="1427118016">
      <w:bodyDiv w:val="1"/>
      <w:marLeft w:val="0"/>
      <w:marRight w:val="0"/>
      <w:marTop w:val="0"/>
      <w:marBottom w:val="0"/>
      <w:divBdr>
        <w:top w:val="none" w:sz="0" w:space="0" w:color="auto"/>
        <w:left w:val="none" w:sz="0" w:space="0" w:color="auto"/>
        <w:bottom w:val="none" w:sz="0" w:space="0" w:color="auto"/>
        <w:right w:val="none" w:sz="0" w:space="0" w:color="auto"/>
      </w:divBdr>
    </w:div>
    <w:div w:id="1458377368">
      <w:bodyDiv w:val="1"/>
      <w:marLeft w:val="0"/>
      <w:marRight w:val="0"/>
      <w:marTop w:val="0"/>
      <w:marBottom w:val="0"/>
      <w:divBdr>
        <w:top w:val="none" w:sz="0" w:space="0" w:color="auto"/>
        <w:left w:val="none" w:sz="0" w:space="0" w:color="auto"/>
        <w:bottom w:val="none" w:sz="0" w:space="0" w:color="auto"/>
        <w:right w:val="none" w:sz="0" w:space="0" w:color="auto"/>
      </w:divBdr>
    </w:div>
    <w:div w:id="1707367218">
      <w:bodyDiv w:val="1"/>
      <w:marLeft w:val="0"/>
      <w:marRight w:val="0"/>
      <w:marTop w:val="0"/>
      <w:marBottom w:val="0"/>
      <w:divBdr>
        <w:top w:val="none" w:sz="0" w:space="0" w:color="auto"/>
        <w:left w:val="none" w:sz="0" w:space="0" w:color="auto"/>
        <w:bottom w:val="none" w:sz="0" w:space="0" w:color="auto"/>
        <w:right w:val="none" w:sz="0" w:space="0" w:color="auto"/>
      </w:divBdr>
    </w:div>
    <w:div w:id="1729062353">
      <w:bodyDiv w:val="1"/>
      <w:marLeft w:val="0"/>
      <w:marRight w:val="0"/>
      <w:marTop w:val="0"/>
      <w:marBottom w:val="0"/>
      <w:divBdr>
        <w:top w:val="none" w:sz="0" w:space="0" w:color="auto"/>
        <w:left w:val="none" w:sz="0" w:space="0" w:color="auto"/>
        <w:bottom w:val="none" w:sz="0" w:space="0" w:color="auto"/>
        <w:right w:val="none" w:sz="0" w:space="0" w:color="auto"/>
      </w:divBdr>
    </w:div>
    <w:div w:id="1749881131">
      <w:bodyDiv w:val="1"/>
      <w:marLeft w:val="0"/>
      <w:marRight w:val="0"/>
      <w:marTop w:val="0"/>
      <w:marBottom w:val="0"/>
      <w:divBdr>
        <w:top w:val="none" w:sz="0" w:space="0" w:color="auto"/>
        <w:left w:val="none" w:sz="0" w:space="0" w:color="auto"/>
        <w:bottom w:val="none" w:sz="0" w:space="0" w:color="auto"/>
        <w:right w:val="none" w:sz="0" w:space="0" w:color="auto"/>
      </w:divBdr>
    </w:div>
    <w:div w:id="1785031026">
      <w:bodyDiv w:val="1"/>
      <w:marLeft w:val="0"/>
      <w:marRight w:val="0"/>
      <w:marTop w:val="0"/>
      <w:marBottom w:val="0"/>
      <w:divBdr>
        <w:top w:val="none" w:sz="0" w:space="0" w:color="auto"/>
        <w:left w:val="none" w:sz="0" w:space="0" w:color="auto"/>
        <w:bottom w:val="none" w:sz="0" w:space="0" w:color="auto"/>
        <w:right w:val="none" w:sz="0" w:space="0" w:color="auto"/>
      </w:divBdr>
    </w:div>
    <w:div w:id="1847557104">
      <w:bodyDiv w:val="1"/>
      <w:marLeft w:val="0"/>
      <w:marRight w:val="0"/>
      <w:marTop w:val="0"/>
      <w:marBottom w:val="0"/>
      <w:divBdr>
        <w:top w:val="none" w:sz="0" w:space="0" w:color="auto"/>
        <w:left w:val="none" w:sz="0" w:space="0" w:color="auto"/>
        <w:bottom w:val="none" w:sz="0" w:space="0" w:color="auto"/>
        <w:right w:val="none" w:sz="0" w:space="0" w:color="auto"/>
      </w:divBdr>
    </w:div>
    <w:div w:id="1888294335">
      <w:bodyDiv w:val="1"/>
      <w:marLeft w:val="0"/>
      <w:marRight w:val="0"/>
      <w:marTop w:val="0"/>
      <w:marBottom w:val="0"/>
      <w:divBdr>
        <w:top w:val="none" w:sz="0" w:space="0" w:color="auto"/>
        <w:left w:val="none" w:sz="0" w:space="0" w:color="auto"/>
        <w:bottom w:val="none" w:sz="0" w:space="0" w:color="auto"/>
        <w:right w:val="none" w:sz="0" w:space="0" w:color="auto"/>
      </w:divBdr>
    </w:div>
    <w:div w:id="21035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kk.gov.al/faqe.php?id=9&amp;l2=144&amp;gj=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291C-CED3-4C4E-A8B8-F98D08E0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Ardita Xhyheri</dc:creator>
  <cp:lastModifiedBy>Shpresa Karanxha</cp:lastModifiedBy>
  <cp:revision>2</cp:revision>
  <cp:lastPrinted>2018-04-20T11:02:00Z</cp:lastPrinted>
  <dcterms:created xsi:type="dcterms:W3CDTF">2024-11-27T09:16:00Z</dcterms:created>
  <dcterms:modified xsi:type="dcterms:W3CDTF">2024-11-27T09:16:00Z</dcterms:modified>
</cp:coreProperties>
</file>