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9E43" w14:textId="4C1226F8" w:rsidR="009963A5" w:rsidRPr="00FF0EBA" w:rsidRDefault="0070208E" w:rsidP="005625F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25F7" w:rsidRPr="00FF0EBA">
        <w:rPr>
          <w:rFonts w:ascii="Times New Roman" w:eastAsia="Calibri" w:hAnsi="Times New Roman" w:cs="Times New Roman"/>
          <w:b/>
          <w:sz w:val="24"/>
          <w:szCs w:val="24"/>
          <w:lang w:val="sq-AL"/>
        </w:rPr>
        <w:t>KOMENTE DHE REKOMAN</w:t>
      </w:r>
      <w:r w:rsidR="00C6359C" w:rsidRPr="00FF0EB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DIME </w:t>
      </w:r>
    </w:p>
    <w:p w14:paraId="1C4B2C0F" w14:textId="5AF6DCBE" w:rsidR="005625F7" w:rsidRPr="00FF0EBA" w:rsidRDefault="00C6359C" w:rsidP="005625F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FF0EB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MBI RAPORTIN E MONITORIMIT </w:t>
      </w:r>
      <w:r w:rsidR="005625F7" w:rsidRPr="00FF0EB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TË </w:t>
      </w:r>
      <w:r w:rsidR="00CA7B14">
        <w:rPr>
          <w:rFonts w:ascii="Times New Roman" w:eastAsia="Calibri" w:hAnsi="Times New Roman" w:cs="Times New Roman"/>
          <w:b/>
          <w:sz w:val="24"/>
          <w:szCs w:val="24"/>
          <w:lang w:val="sq-AL"/>
        </w:rPr>
        <w:t>4 MUJORIT TE PAR</w:t>
      </w:r>
      <w:r w:rsidR="00CB5020">
        <w:rPr>
          <w:rFonts w:ascii="Times New Roman" w:eastAsia="Calibri" w:hAnsi="Times New Roman" w:cs="Times New Roman"/>
          <w:b/>
          <w:sz w:val="24"/>
          <w:szCs w:val="24"/>
          <w:lang w:val="sq-AL"/>
        </w:rPr>
        <w:t>Ë</w:t>
      </w:r>
      <w:r w:rsidR="005F41AD" w:rsidRPr="00FF0EB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  <w:r w:rsidR="00FF4413" w:rsidRPr="00FF0EBA">
        <w:rPr>
          <w:rFonts w:ascii="Times New Roman" w:eastAsia="Calibri" w:hAnsi="Times New Roman" w:cs="Times New Roman"/>
          <w:b/>
          <w:sz w:val="24"/>
          <w:szCs w:val="24"/>
          <w:lang w:val="sq-AL"/>
        </w:rPr>
        <w:t>202</w:t>
      </w:r>
      <w:r w:rsidR="00CA7B14">
        <w:rPr>
          <w:rFonts w:ascii="Times New Roman" w:eastAsia="Calibri" w:hAnsi="Times New Roman" w:cs="Times New Roman"/>
          <w:b/>
          <w:sz w:val="24"/>
          <w:szCs w:val="24"/>
          <w:lang w:val="sq-AL"/>
        </w:rPr>
        <w:t>4</w:t>
      </w:r>
      <w:r w:rsidR="00FF4413" w:rsidRPr="00FF0EBA">
        <w:rPr>
          <w:rFonts w:ascii="Times New Roman" w:eastAsia="Calibri" w:hAnsi="Times New Roman" w:cs="Times New Roman"/>
          <w:b/>
          <w:sz w:val="24"/>
          <w:szCs w:val="24"/>
          <w:lang w:val="sq-AL"/>
        </w:rPr>
        <w:t>,</w:t>
      </w:r>
      <w:r w:rsidR="005625F7" w:rsidRPr="00FF0EB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PËR KONTROLLIN E LARTË TË SHTETIT</w:t>
      </w:r>
    </w:p>
    <w:p w14:paraId="0AE60C60" w14:textId="77777777" w:rsidR="005625F7" w:rsidRPr="00FF0EBA" w:rsidRDefault="005625F7" w:rsidP="005625F7">
      <w:pPr>
        <w:numPr>
          <w:ilvl w:val="0"/>
          <w:numId w:val="3"/>
        </w:numPr>
        <w:ind w:left="810" w:hanging="45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FF0EBA">
        <w:rPr>
          <w:rFonts w:ascii="Times New Roman" w:eastAsia="Calibri" w:hAnsi="Times New Roman" w:cs="Times New Roman"/>
          <w:b/>
          <w:sz w:val="24"/>
          <w:szCs w:val="24"/>
          <w:lang w:val="sq-AL"/>
        </w:rPr>
        <w:t>Vlerësim i përgjithshëm i qëllimeve dhe objektivave të politikës si dhe performanca e  produkteve kryesore</w:t>
      </w:r>
    </w:p>
    <w:p w14:paraId="5D097686" w14:textId="77777777" w:rsidR="0067323A" w:rsidRDefault="005625F7" w:rsidP="0067323A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</w:pPr>
      <w:r w:rsidRPr="00FF0EBA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Kontrolli i Lartë i Shtetit, në funksion të përmbushjes së objektivit kushtetues dhe ligjor të sigurimit të llogaridhënies publike, me fondet buxhetore të miratuara, për </w:t>
      </w:r>
      <w:r w:rsidR="004569F5" w:rsidRPr="00FF0EBA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Vitin</w:t>
      </w:r>
      <w:r w:rsidR="00FF4413" w:rsidRPr="00FF0EBA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 </w:t>
      </w:r>
      <w:r w:rsidRPr="00FF0EBA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202</w:t>
      </w:r>
      <w:r w:rsidR="00CA7B14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4</w:t>
      </w:r>
      <w:r w:rsidRPr="00FF0EBA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, ka hartuar, programuar dhe zhvilluar politikat për përmbushjen me cilësi të lartë dhe në kohë të detyrimeve kushtetuese dhe ligjore, të objektivave, si dhe të prioriteteve të institucionit. </w:t>
      </w:r>
    </w:p>
    <w:p w14:paraId="48D22DEB" w14:textId="37BF62C9" w:rsidR="005625F7" w:rsidRPr="0067323A" w:rsidRDefault="005625F7" w:rsidP="0067323A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</w:pPr>
      <w:r w:rsidRPr="00FF0EBA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Programi për të cilin ky institucion administron fondet për vitin 202</w:t>
      </w:r>
      <w:r w:rsidR="00CA7B14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4</w:t>
      </w:r>
      <w:r w:rsidR="006D07A3" w:rsidRPr="00FF0EBA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 </w:t>
      </w:r>
      <w:r w:rsidRPr="00FF0EBA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është</w:t>
      </w:r>
      <w:r w:rsidR="0067323A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 </w:t>
      </w:r>
      <w:r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Programi “Veprimtaria Audituese e KLSH-së”</w:t>
      </w:r>
      <w:r w:rsidR="0067323A">
        <w:rPr>
          <w:rFonts w:ascii="Times New Roman" w:eastAsia="Calibri" w:hAnsi="Times New Roman" w:cs="Times New Roman"/>
          <w:sz w:val="24"/>
          <w:szCs w:val="24"/>
          <w:lang w:val="sq-AL"/>
        </w:rPr>
        <w:t>.Q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67323A">
        <w:rPr>
          <w:rFonts w:ascii="Times New Roman" w:eastAsia="Calibri" w:hAnsi="Times New Roman" w:cs="Times New Roman"/>
          <w:sz w:val="24"/>
          <w:szCs w:val="24"/>
          <w:lang w:val="sq-AL"/>
        </w:rPr>
        <w:t>llimi i politik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67323A">
        <w:rPr>
          <w:rFonts w:ascii="Times New Roman" w:eastAsia="Calibri" w:hAnsi="Times New Roman" w:cs="Times New Roman"/>
          <w:sz w:val="24"/>
          <w:szCs w:val="24"/>
          <w:lang w:val="sq-AL"/>
        </w:rPr>
        <w:t>s s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67323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k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67323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tij programi 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67323A">
        <w:rPr>
          <w:rFonts w:ascii="Times New Roman" w:eastAsia="Calibri" w:hAnsi="Times New Roman" w:cs="Times New Roman"/>
          <w:sz w:val="24"/>
          <w:szCs w:val="24"/>
          <w:lang w:val="sq-AL"/>
        </w:rPr>
        <w:t>sht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67323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“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Ushtrimi i veprimtaris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Audituese n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nj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linj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me standartet nd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rkomb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tare t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auditimit mbi p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rdorimin me efektivitet, eficienc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dhe ekonomicitet t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fondeve publike n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funksion t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rritjes s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p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rgjegjshm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ris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s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menaxhimit t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financave e pasuris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publike duke sjell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vler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t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shtuar p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r shoq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rin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dhe ndryshim n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jet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n e qytetareve</w:t>
      </w:r>
      <w:r w:rsid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”.</w:t>
      </w:r>
      <w:r w:rsidR="0067323A"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.</w:t>
      </w:r>
    </w:p>
    <w:p w14:paraId="7825F9C4" w14:textId="6D835280" w:rsidR="0067323A" w:rsidRPr="00FF0EBA" w:rsidRDefault="0067323A" w:rsidP="0067323A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>Nd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rsa Objektivi kryesor i politik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s s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Progamit 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sht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: “</w:t>
      </w:r>
      <w:r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Rritja e impaktit t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pun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s audituese n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p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rmjet p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rmir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simit t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nivelit t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zbatimit t</w:t>
      </w:r>
      <w:r w:rsidR="00CB5020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Pr="0067323A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rekomandimeve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”.</w:t>
      </w:r>
    </w:p>
    <w:p w14:paraId="7C8CB7CA" w14:textId="5AB67EAF" w:rsidR="00C533E8" w:rsidRDefault="005625F7" w:rsidP="001C42BA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B5020">
        <w:rPr>
          <w:rFonts w:ascii="Times New Roman" w:eastAsia="Calibri" w:hAnsi="Times New Roman" w:cs="Times New Roman"/>
          <w:b/>
          <w:iCs/>
          <w:sz w:val="24"/>
          <w:szCs w:val="24"/>
          <w:lang w:val="sq-AL"/>
        </w:rPr>
        <w:t>Për programin “Veprimtaria Audituese e KLSH-së’</w:t>
      </w:r>
      <w:r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për </w:t>
      </w:r>
      <w:r w:rsidR="008261C7">
        <w:rPr>
          <w:rFonts w:ascii="Times New Roman" w:eastAsia="Calibri" w:hAnsi="Times New Roman" w:cs="Times New Roman"/>
          <w:sz w:val="24"/>
          <w:szCs w:val="24"/>
          <w:lang w:val="sq-AL"/>
        </w:rPr>
        <w:t>4 Mujorin e I-r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261C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C6359C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202</w:t>
      </w:r>
      <w:r w:rsidR="008261C7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="002958B3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,</w:t>
      </w:r>
      <w:r w:rsidR="006D07A3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434BB8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sipas raportit t</w:t>
      </w:r>
      <w:r w:rsidR="002412E2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434BB8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monitorimit t</w:t>
      </w:r>
      <w:r w:rsidR="002412E2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434BB8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paraqitur</w:t>
      </w:r>
      <w:r w:rsidR="005F41AD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,</w:t>
      </w:r>
      <w:r w:rsidR="00434BB8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ky institucion ka raportuar </w:t>
      </w:r>
      <w:r w:rsidR="001C42BA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produktin “Auditime t</w:t>
      </w:r>
      <w:r w:rsidR="00225BCE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1C42BA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kryera” i cili </w:t>
      </w:r>
      <w:r w:rsidR="00225BCE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1C42BA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sht</w:t>
      </w:r>
      <w:r w:rsidR="00225BCE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1C42BA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realizuar n</w:t>
      </w:r>
      <w:r w:rsidR="00225BCE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1C42BA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num</w:t>
      </w:r>
      <w:r w:rsidR="00225BCE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1C42BA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r </w:t>
      </w:r>
      <w:r w:rsidR="00E0634B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1</w:t>
      </w:r>
      <w:r w:rsidR="008261C7">
        <w:rPr>
          <w:rFonts w:ascii="Times New Roman" w:eastAsia="Calibri" w:hAnsi="Times New Roman" w:cs="Times New Roman"/>
          <w:sz w:val="24"/>
          <w:szCs w:val="24"/>
          <w:lang w:val="sq-AL"/>
        </w:rPr>
        <w:t>9</w:t>
      </w:r>
      <w:r w:rsidR="001C42BA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nga 1</w:t>
      </w:r>
      <w:r w:rsidR="008261C7">
        <w:rPr>
          <w:rFonts w:ascii="Times New Roman" w:eastAsia="Calibri" w:hAnsi="Times New Roman" w:cs="Times New Roman"/>
          <w:sz w:val="24"/>
          <w:szCs w:val="24"/>
          <w:lang w:val="sq-AL"/>
        </w:rPr>
        <w:t>73</w:t>
      </w:r>
      <w:r w:rsidR="00E0634B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1C42BA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t</w:t>
      </w:r>
      <w:r w:rsidR="00225BCE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1C42BA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planifikuara</w:t>
      </w:r>
      <w:r w:rsidR="00C533E8">
        <w:rPr>
          <w:rFonts w:ascii="Times New Roman" w:eastAsia="Calibri" w:hAnsi="Times New Roman" w:cs="Times New Roman"/>
          <w:sz w:val="24"/>
          <w:szCs w:val="24"/>
          <w:lang w:val="sq-AL"/>
        </w:rPr>
        <w:t>, pra duke realizuar  planin e auditimeve, te cilat kane te bejne me vleresim te perputhshmerise, rregullshmerise financiare, performances dhe ndjekjes se statusit te zbatimit te rekomandimeve te lena ne periudhat e meparshme.Detajuar sipas llojit te auditimit, aktiviteti auditues paraqitet si me poshte:</w:t>
      </w:r>
    </w:p>
    <w:p w14:paraId="19ADAEE7" w14:textId="6C963E40" w:rsidR="00C533E8" w:rsidRDefault="008261C7" w:rsidP="00C533E8">
      <w:pPr>
        <w:pStyle w:val="ListParagraph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>11</w:t>
      </w:r>
      <w:r w:rsidR="00C533E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auditime te kombinuara</w:t>
      </w:r>
    </w:p>
    <w:p w14:paraId="1E16A89F" w14:textId="3A78581D" w:rsidR="00C533E8" w:rsidRDefault="008261C7" w:rsidP="00C533E8">
      <w:pPr>
        <w:pStyle w:val="ListParagraph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="00C533E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auditim perputhshmerie</w:t>
      </w:r>
    </w:p>
    <w:p w14:paraId="09480351" w14:textId="38A861E7" w:rsidR="00C533E8" w:rsidRDefault="008261C7" w:rsidP="00C533E8">
      <w:pPr>
        <w:pStyle w:val="ListParagraph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>3</w:t>
      </w:r>
      <w:r w:rsidR="00C533E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auditim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e</w:t>
      </w:r>
      <w:r w:rsidR="00C533E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financiare</w:t>
      </w:r>
    </w:p>
    <w:p w14:paraId="4440B109" w14:textId="59D57B13" w:rsidR="00C533E8" w:rsidRDefault="00C533E8" w:rsidP="00C533E8">
      <w:pPr>
        <w:pStyle w:val="ListParagraph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>1</w:t>
      </w:r>
      <w:r w:rsidR="008261C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auditim performance</w:t>
      </w:r>
    </w:p>
    <w:p w14:paraId="06C2E8A6" w14:textId="4BCC8608" w:rsidR="001C42BA" w:rsidRPr="00FF0EBA" w:rsidRDefault="00E0634B" w:rsidP="001C42BA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Keto auditime kane perfshire vleresimin  e aktivitetit ne keto subjekte duke perfshire nivele te ndryshme te qeverisjes si: institucione qendrore, ministri dhe agjenci, njesi te vetqeverisjes vendore, drejtori te pergjithshme te administrimit fiskal, si dhe shoqeri aksionare me kapital </w:t>
      </w:r>
      <w:r w:rsidRPr="00CB5020">
        <w:rPr>
          <w:rFonts w:ascii="Times New Roman" w:eastAsia="Calibri" w:hAnsi="Times New Roman" w:cs="Times New Roman"/>
          <w:sz w:val="24"/>
          <w:szCs w:val="24"/>
          <w:lang w:val="sq-AL"/>
        </w:rPr>
        <w:t>shteteror ne</w:t>
      </w:r>
      <w:r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te cilen shteti ka mbi 50</w:t>
      </w:r>
      <w:r w:rsidR="008261C7">
        <w:rPr>
          <w:rFonts w:ascii="Times New Roman" w:eastAsia="Calibri" w:hAnsi="Times New Roman" w:cs="Times New Roman"/>
          <w:sz w:val="24"/>
          <w:szCs w:val="24"/>
          <w:lang w:val="sq-AL"/>
        </w:rPr>
        <w:t>%</w:t>
      </w:r>
      <w:r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te aksioneve, apo projekte me financim te huaj.</w:t>
      </w:r>
    </w:p>
    <w:p w14:paraId="7E63EA17" w14:textId="77777777" w:rsidR="005625F7" w:rsidRPr="00FF0EBA" w:rsidRDefault="005625F7" w:rsidP="009013DA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“</w:t>
      </w:r>
      <w:r w:rsidRPr="00FF0EBA">
        <w:rPr>
          <w:rFonts w:ascii="Times New Roman" w:eastAsia="Calibri" w:hAnsi="Times New Roman" w:cs="Times New Roman"/>
          <w:b/>
          <w:sz w:val="24"/>
          <w:szCs w:val="24"/>
          <w:lang w:val="sq-AL"/>
        </w:rPr>
        <w:t>Karakteristika kryesore të performancës së shpenzimeve</w:t>
      </w:r>
      <w:r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”</w:t>
      </w:r>
    </w:p>
    <w:p w14:paraId="3E4122CC" w14:textId="77777777" w:rsidR="00F15DC2" w:rsidRDefault="005625F7" w:rsidP="005625F7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Në fund të </w:t>
      </w:r>
      <w:r w:rsidR="00FF4413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444B4C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="00F15DC2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444B4C">
        <w:rPr>
          <w:rFonts w:ascii="Times New Roman" w:eastAsia="Calibri" w:hAnsi="Times New Roman" w:cs="Times New Roman"/>
          <w:sz w:val="24"/>
          <w:szCs w:val="24"/>
          <w:lang w:val="sq-AL"/>
        </w:rPr>
        <w:t>mujorit te I</w:t>
      </w:r>
      <w:r w:rsidR="00434BB8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202</w:t>
      </w:r>
      <w:r w:rsidR="00444B4C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situata në lidhje me realizimin e shpenzimeve të buxhetit, </w:t>
      </w:r>
      <w:r w:rsidRPr="00FF0EBA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krahasuar me planin e vitit 202</w:t>
      </w:r>
      <w:r w:rsidR="00444B4C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4</w:t>
      </w:r>
      <w:r w:rsidRPr="00FF0EBA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,</w:t>
      </w:r>
      <w:r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paraqitet si më poshtë:</w:t>
      </w:r>
      <w:r w:rsidR="00FF500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             </w:t>
      </w:r>
    </w:p>
    <w:p w14:paraId="6C3D19B8" w14:textId="654B19BB" w:rsidR="00FF5006" w:rsidRPr="00FF0EBA" w:rsidRDefault="00FF5006" w:rsidP="005625F7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                                                                            </w:t>
      </w:r>
      <w:r w:rsidR="00F15DC2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 Ne 000/leke</w:t>
      </w:r>
    </w:p>
    <w:tbl>
      <w:tblPr>
        <w:tblW w:w="48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3442"/>
        <w:gridCol w:w="1841"/>
        <w:gridCol w:w="1800"/>
        <w:gridCol w:w="1620"/>
      </w:tblGrid>
      <w:tr w:rsidR="00DB29ED" w:rsidRPr="00FF0EBA" w14:paraId="119D4178" w14:textId="77777777" w:rsidTr="00F15DC2">
        <w:trPr>
          <w:trHeight w:val="70"/>
        </w:trPr>
        <w:tc>
          <w:tcPr>
            <w:tcW w:w="257" w:type="pct"/>
            <w:shd w:val="clear" w:color="auto" w:fill="DDD9C3"/>
            <w:vAlign w:val="center"/>
          </w:tcPr>
          <w:p w14:paraId="4D9F7D1B" w14:textId="77777777" w:rsidR="00DB29ED" w:rsidRPr="00FF0EBA" w:rsidRDefault="00DB29ED" w:rsidP="00B450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876" w:type="pct"/>
            <w:shd w:val="clear" w:color="auto" w:fill="DDD9C3"/>
            <w:vAlign w:val="center"/>
          </w:tcPr>
          <w:p w14:paraId="7A8F4E58" w14:textId="77777777" w:rsidR="00DB29ED" w:rsidRPr="00FF0EBA" w:rsidRDefault="00DB29ED" w:rsidP="00B450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FF0EB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Emertimi</w:t>
            </w:r>
          </w:p>
        </w:tc>
        <w:tc>
          <w:tcPr>
            <w:tcW w:w="1003" w:type="pct"/>
            <w:shd w:val="clear" w:color="auto" w:fill="DDD9C3"/>
            <w:vAlign w:val="center"/>
          </w:tcPr>
          <w:p w14:paraId="66BD887E" w14:textId="095C1C0F" w:rsidR="00DB29ED" w:rsidRPr="00FF0EBA" w:rsidRDefault="00DB29ED" w:rsidP="00E21EB0">
            <w:pPr>
              <w:spacing w:after="0"/>
              <w:ind w:lef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FF0EB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Plani Vjetor 202</w:t>
            </w:r>
            <w:r w:rsidR="00444B4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981" w:type="pct"/>
            <w:shd w:val="clear" w:color="auto" w:fill="DDD9C3"/>
            <w:vAlign w:val="center"/>
          </w:tcPr>
          <w:p w14:paraId="102A33CD" w14:textId="12AA0E3C" w:rsidR="00434BB8" w:rsidRPr="00FF0EBA" w:rsidRDefault="00DB29ED" w:rsidP="00E21E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FF0EB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Fakti  </w:t>
            </w:r>
            <w:r w:rsidR="00444B4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4 Mujori I 2024</w:t>
            </w:r>
          </w:p>
          <w:p w14:paraId="3E11F3C6" w14:textId="20F0DE34" w:rsidR="00DB29ED" w:rsidRPr="00FF0EBA" w:rsidRDefault="00DB29ED" w:rsidP="00E21E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883" w:type="pct"/>
            <w:shd w:val="clear" w:color="auto" w:fill="DDD9C3"/>
            <w:vAlign w:val="center"/>
          </w:tcPr>
          <w:p w14:paraId="51C1C487" w14:textId="77777777" w:rsidR="00DB29ED" w:rsidRPr="00FF0EBA" w:rsidRDefault="00DB29ED" w:rsidP="00B450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FF0EB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>% e realizimit</w:t>
            </w:r>
          </w:p>
        </w:tc>
      </w:tr>
      <w:tr w:rsidR="00DB29ED" w:rsidRPr="00FF0EBA" w14:paraId="7A13C0DC" w14:textId="77777777" w:rsidTr="00FF4CB8">
        <w:tc>
          <w:tcPr>
            <w:tcW w:w="257" w:type="pct"/>
            <w:vAlign w:val="center"/>
          </w:tcPr>
          <w:p w14:paraId="58E54493" w14:textId="77777777" w:rsidR="00DB29ED" w:rsidRPr="00FF0EBA" w:rsidRDefault="00DB29ED" w:rsidP="00B450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0E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1876" w:type="pct"/>
            <w:vAlign w:val="center"/>
          </w:tcPr>
          <w:p w14:paraId="6E84AD24" w14:textId="0F4FD109" w:rsidR="00DB29ED" w:rsidRPr="00FF0EBA" w:rsidRDefault="00DB29ED" w:rsidP="00B450DC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0E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Shpenzime </w:t>
            </w:r>
            <w:r w:rsidR="00E0634B" w:rsidRPr="00FF0E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 paga</w:t>
            </w:r>
          </w:p>
        </w:tc>
        <w:tc>
          <w:tcPr>
            <w:tcW w:w="1003" w:type="pct"/>
            <w:vAlign w:val="center"/>
          </w:tcPr>
          <w:p w14:paraId="72F333F0" w14:textId="0B655B67" w:rsidR="00DB29ED" w:rsidRPr="00FF0EBA" w:rsidRDefault="00F15DC2" w:rsidP="00B4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531 300</w:t>
            </w:r>
          </w:p>
        </w:tc>
        <w:tc>
          <w:tcPr>
            <w:tcW w:w="981" w:type="pct"/>
            <w:vAlign w:val="center"/>
          </w:tcPr>
          <w:p w14:paraId="771C73BF" w14:textId="632C8863" w:rsidR="00DB29ED" w:rsidRPr="00FF0EBA" w:rsidRDefault="00F15DC2" w:rsidP="00B4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152 987</w:t>
            </w:r>
          </w:p>
        </w:tc>
        <w:tc>
          <w:tcPr>
            <w:tcW w:w="883" w:type="pct"/>
            <w:vAlign w:val="center"/>
          </w:tcPr>
          <w:p w14:paraId="19916671" w14:textId="2F312501" w:rsidR="00DB29ED" w:rsidRPr="00FF0EBA" w:rsidRDefault="00F15DC2" w:rsidP="00B4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29%</w:t>
            </w:r>
          </w:p>
        </w:tc>
      </w:tr>
      <w:tr w:rsidR="00E0634B" w:rsidRPr="00FF0EBA" w14:paraId="174CA2D3" w14:textId="77777777" w:rsidTr="00FF4CB8">
        <w:trPr>
          <w:trHeight w:val="413"/>
        </w:trPr>
        <w:tc>
          <w:tcPr>
            <w:tcW w:w="257" w:type="pct"/>
            <w:vAlign w:val="center"/>
          </w:tcPr>
          <w:p w14:paraId="4AD99B93" w14:textId="68A1D36F" w:rsidR="00E0634B" w:rsidRPr="00FF0EBA" w:rsidRDefault="00E0634B" w:rsidP="00B450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0E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</w:p>
        </w:tc>
        <w:tc>
          <w:tcPr>
            <w:tcW w:w="1876" w:type="pct"/>
            <w:vAlign w:val="center"/>
          </w:tcPr>
          <w:p w14:paraId="193226CE" w14:textId="0CA83FEE" w:rsidR="00E0634B" w:rsidRPr="00FF0EBA" w:rsidRDefault="00E0634B" w:rsidP="00B450DC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0E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Shpenzime per Sig Shoqerore</w:t>
            </w:r>
          </w:p>
        </w:tc>
        <w:tc>
          <w:tcPr>
            <w:tcW w:w="1003" w:type="pct"/>
            <w:vAlign w:val="center"/>
          </w:tcPr>
          <w:p w14:paraId="34075C7E" w14:textId="665364C9" w:rsidR="00E0634B" w:rsidRPr="00FF0EBA" w:rsidRDefault="00F15DC2" w:rsidP="00B4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66 800</w:t>
            </w:r>
          </w:p>
        </w:tc>
        <w:tc>
          <w:tcPr>
            <w:tcW w:w="981" w:type="pct"/>
            <w:vAlign w:val="center"/>
          </w:tcPr>
          <w:p w14:paraId="19741555" w14:textId="4C665A21" w:rsidR="00E0634B" w:rsidRPr="00FF0EBA" w:rsidRDefault="00F15DC2" w:rsidP="00B4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21 283</w:t>
            </w:r>
          </w:p>
        </w:tc>
        <w:tc>
          <w:tcPr>
            <w:tcW w:w="883" w:type="pct"/>
            <w:vAlign w:val="center"/>
          </w:tcPr>
          <w:p w14:paraId="15632344" w14:textId="6A208F7D" w:rsidR="00E0634B" w:rsidRPr="00FF0EBA" w:rsidRDefault="00F15DC2" w:rsidP="00B4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35%</w:t>
            </w:r>
          </w:p>
        </w:tc>
      </w:tr>
      <w:tr w:rsidR="00DB29ED" w:rsidRPr="00FF0EBA" w14:paraId="0D886AE3" w14:textId="77777777" w:rsidTr="00FF4CB8">
        <w:trPr>
          <w:trHeight w:val="413"/>
        </w:trPr>
        <w:tc>
          <w:tcPr>
            <w:tcW w:w="257" w:type="pct"/>
            <w:vAlign w:val="center"/>
          </w:tcPr>
          <w:p w14:paraId="62DAA085" w14:textId="0AAD115C" w:rsidR="00DB29ED" w:rsidRPr="00FF0EBA" w:rsidRDefault="00E0634B" w:rsidP="00B450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0E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</w:p>
        </w:tc>
        <w:tc>
          <w:tcPr>
            <w:tcW w:w="1876" w:type="pct"/>
            <w:vAlign w:val="center"/>
          </w:tcPr>
          <w:p w14:paraId="784CFE08" w14:textId="77777777" w:rsidR="00DB29ED" w:rsidRPr="00FF0EBA" w:rsidRDefault="00DB29ED" w:rsidP="00B450DC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0E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Shpenzime të tjera korrente</w:t>
            </w:r>
          </w:p>
        </w:tc>
        <w:tc>
          <w:tcPr>
            <w:tcW w:w="1003" w:type="pct"/>
            <w:vAlign w:val="center"/>
          </w:tcPr>
          <w:p w14:paraId="3CBA7271" w14:textId="1D8353E6" w:rsidR="00DB29ED" w:rsidRPr="00FF0EBA" w:rsidRDefault="00F15DC2" w:rsidP="00B4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72 400</w:t>
            </w:r>
          </w:p>
        </w:tc>
        <w:tc>
          <w:tcPr>
            <w:tcW w:w="981" w:type="pct"/>
            <w:vAlign w:val="center"/>
          </w:tcPr>
          <w:p w14:paraId="57C52481" w14:textId="1A331325" w:rsidR="00DB29ED" w:rsidRPr="00FF0EBA" w:rsidRDefault="00F15DC2" w:rsidP="00B4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23 229</w:t>
            </w:r>
          </w:p>
        </w:tc>
        <w:tc>
          <w:tcPr>
            <w:tcW w:w="883" w:type="pct"/>
            <w:vAlign w:val="center"/>
          </w:tcPr>
          <w:p w14:paraId="41163F55" w14:textId="4D9F6C12" w:rsidR="00DB29ED" w:rsidRPr="00FF0EBA" w:rsidRDefault="00F15DC2" w:rsidP="00B4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32%</w:t>
            </w:r>
          </w:p>
        </w:tc>
      </w:tr>
      <w:tr w:rsidR="00DB29ED" w:rsidRPr="00FF0EBA" w14:paraId="0B97CCA3" w14:textId="77777777" w:rsidTr="00FF4CB8">
        <w:tc>
          <w:tcPr>
            <w:tcW w:w="257" w:type="pct"/>
            <w:vAlign w:val="center"/>
          </w:tcPr>
          <w:p w14:paraId="4579331F" w14:textId="2CC3B366" w:rsidR="00DB29ED" w:rsidRPr="00FF0EBA" w:rsidRDefault="00E0634B" w:rsidP="00B450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0E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</w:p>
        </w:tc>
        <w:tc>
          <w:tcPr>
            <w:tcW w:w="1876" w:type="pct"/>
            <w:vAlign w:val="center"/>
          </w:tcPr>
          <w:p w14:paraId="55AB0FFE" w14:textId="77777777" w:rsidR="00DB29ED" w:rsidRPr="00FF0EBA" w:rsidRDefault="00DB29ED" w:rsidP="00B450DC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0E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Shpenzime Kapitale (F.brendsh)</w:t>
            </w:r>
          </w:p>
        </w:tc>
        <w:tc>
          <w:tcPr>
            <w:tcW w:w="1003" w:type="pct"/>
            <w:vAlign w:val="center"/>
          </w:tcPr>
          <w:p w14:paraId="1E91540C" w14:textId="75658877" w:rsidR="00DB29ED" w:rsidRPr="00FF0EBA" w:rsidRDefault="0037179E" w:rsidP="00B4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15 000</w:t>
            </w:r>
          </w:p>
        </w:tc>
        <w:tc>
          <w:tcPr>
            <w:tcW w:w="981" w:type="pct"/>
            <w:vAlign w:val="center"/>
          </w:tcPr>
          <w:p w14:paraId="485222DB" w14:textId="53313ABC" w:rsidR="00DB29ED" w:rsidRPr="00FF0EBA" w:rsidRDefault="0037179E" w:rsidP="00B4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</w:p>
        </w:tc>
        <w:tc>
          <w:tcPr>
            <w:tcW w:w="883" w:type="pct"/>
            <w:vAlign w:val="center"/>
          </w:tcPr>
          <w:p w14:paraId="121004E0" w14:textId="22A721BB" w:rsidR="00DB29ED" w:rsidRPr="00FF0EBA" w:rsidRDefault="0037179E" w:rsidP="00B4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</w:p>
        </w:tc>
      </w:tr>
      <w:tr w:rsidR="00DB29ED" w:rsidRPr="00FF0EBA" w14:paraId="427D5E76" w14:textId="77777777" w:rsidTr="00FF4CB8">
        <w:tc>
          <w:tcPr>
            <w:tcW w:w="257" w:type="pct"/>
            <w:vAlign w:val="center"/>
          </w:tcPr>
          <w:p w14:paraId="599232B9" w14:textId="77777777" w:rsidR="00DB29ED" w:rsidRPr="00FF0EBA" w:rsidRDefault="00DB29ED" w:rsidP="00B450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76" w:type="pct"/>
            <w:vAlign w:val="center"/>
          </w:tcPr>
          <w:p w14:paraId="58B0D52C" w14:textId="77777777" w:rsidR="00DB29ED" w:rsidRPr="00FF0EBA" w:rsidRDefault="00DB29ED" w:rsidP="00B450DC">
            <w:pPr>
              <w:spacing w:after="0"/>
              <w:ind w:left="132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0E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Shpenzime kapitale (F.Huaj)</w:t>
            </w:r>
          </w:p>
        </w:tc>
        <w:tc>
          <w:tcPr>
            <w:tcW w:w="1003" w:type="pct"/>
            <w:vAlign w:val="center"/>
          </w:tcPr>
          <w:p w14:paraId="12EEDD64" w14:textId="66B0D4FA" w:rsidR="00DB29ED" w:rsidRPr="00FF0EBA" w:rsidRDefault="00DB29ED" w:rsidP="00B4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81" w:type="pct"/>
            <w:vAlign w:val="center"/>
          </w:tcPr>
          <w:p w14:paraId="70B00816" w14:textId="2DA32435" w:rsidR="00DB29ED" w:rsidRPr="00FF0EBA" w:rsidRDefault="00DB29ED" w:rsidP="00B4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883" w:type="pct"/>
            <w:vAlign w:val="center"/>
          </w:tcPr>
          <w:p w14:paraId="2C332E20" w14:textId="203CC6C3" w:rsidR="00DB29ED" w:rsidRPr="00FF0EBA" w:rsidRDefault="00DB29ED" w:rsidP="00B4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B29ED" w:rsidRPr="00FF0EBA" w14:paraId="1872AD0C" w14:textId="77777777" w:rsidTr="00FF4CB8">
        <w:trPr>
          <w:trHeight w:val="215"/>
        </w:trPr>
        <w:tc>
          <w:tcPr>
            <w:tcW w:w="257" w:type="pct"/>
            <w:vAlign w:val="center"/>
          </w:tcPr>
          <w:p w14:paraId="5E9DB0BA" w14:textId="77777777" w:rsidR="00DB29ED" w:rsidRPr="00FF0EBA" w:rsidRDefault="00DB29ED" w:rsidP="00B450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876" w:type="pct"/>
            <w:vAlign w:val="center"/>
          </w:tcPr>
          <w:p w14:paraId="6291C3EF" w14:textId="77777777" w:rsidR="00DB29ED" w:rsidRPr="00FF0EBA" w:rsidRDefault="00DB29ED" w:rsidP="00B450DC">
            <w:pPr>
              <w:spacing w:after="0"/>
              <w:ind w:left="732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FF0EB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TOTALI</w:t>
            </w:r>
          </w:p>
        </w:tc>
        <w:tc>
          <w:tcPr>
            <w:tcW w:w="1003" w:type="pct"/>
            <w:vAlign w:val="center"/>
          </w:tcPr>
          <w:p w14:paraId="0D16850A" w14:textId="6F0A5A74" w:rsidR="00DB29ED" w:rsidRPr="00FF0EBA" w:rsidRDefault="0037179E" w:rsidP="00B450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685 500</w:t>
            </w:r>
          </w:p>
        </w:tc>
        <w:tc>
          <w:tcPr>
            <w:tcW w:w="981" w:type="pct"/>
            <w:vAlign w:val="center"/>
          </w:tcPr>
          <w:p w14:paraId="33FA829C" w14:textId="1FF533CC" w:rsidR="00DB29ED" w:rsidRPr="00FF0EBA" w:rsidRDefault="0037179E" w:rsidP="00B450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199 500</w:t>
            </w:r>
          </w:p>
        </w:tc>
        <w:tc>
          <w:tcPr>
            <w:tcW w:w="883" w:type="pct"/>
            <w:vAlign w:val="center"/>
          </w:tcPr>
          <w:p w14:paraId="2C717A6F" w14:textId="0C9212F6" w:rsidR="00DB29ED" w:rsidRPr="00FF0EBA" w:rsidRDefault="0037179E" w:rsidP="00B450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29%</w:t>
            </w:r>
          </w:p>
        </w:tc>
      </w:tr>
    </w:tbl>
    <w:p w14:paraId="02656C19" w14:textId="77777777" w:rsidR="00DB29ED" w:rsidRPr="00FF0EBA" w:rsidRDefault="00DB29ED" w:rsidP="005625F7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07F09A2E" w14:textId="77777777" w:rsidR="00DB29ED" w:rsidRPr="00FF0EBA" w:rsidRDefault="005554AF" w:rsidP="005625F7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Nd</w:t>
      </w:r>
      <w:r w:rsidR="00225BCE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rsa realizimi i shpenzimeve ne nivel programi paraqitet si me poshte: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3"/>
        <w:gridCol w:w="3262"/>
      </w:tblGrid>
      <w:tr w:rsidR="005625F7" w:rsidRPr="00FF0EBA" w14:paraId="30CCEE4D" w14:textId="77777777" w:rsidTr="00FF4CB8">
        <w:trPr>
          <w:trHeight w:val="842"/>
        </w:trPr>
        <w:tc>
          <w:tcPr>
            <w:tcW w:w="6003" w:type="dxa"/>
            <w:tcBorders>
              <w:bottom w:val="single" w:sz="4" w:space="0" w:color="auto"/>
              <w:right w:val="single" w:sz="8" w:space="0" w:color="auto"/>
            </w:tcBorders>
          </w:tcPr>
          <w:p w14:paraId="345798CD" w14:textId="77777777" w:rsidR="005625F7" w:rsidRPr="00FF0EBA" w:rsidRDefault="005625F7" w:rsidP="005625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1F8DC2E3" w14:textId="77777777" w:rsidR="005625F7" w:rsidRPr="00FF0EBA" w:rsidRDefault="005625F7" w:rsidP="005625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0EBA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                   Emërtimi</w:t>
            </w:r>
          </w:p>
        </w:tc>
        <w:tc>
          <w:tcPr>
            <w:tcW w:w="3262" w:type="dxa"/>
            <w:tcBorders>
              <w:left w:val="single" w:sz="8" w:space="0" w:color="auto"/>
              <w:bottom w:val="single" w:sz="4" w:space="0" w:color="auto"/>
            </w:tcBorders>
          </w:tcPr>
          <w:p w14:paraId="1C7A4191" w14:textId="77777777" w:rsidR="005625F7" w:rsidRPr="00FF0EBA" w:rsidRDefault="005625F7" w:rsidP="005625F7">
            <w:pPr>
              <w:ind w:left="1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F0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% e realizimit të shpenzimeve                                  </w:t>
            </w:r>
          </w:p>
          <w:p w14:paraId="19321143" w14:textId="7CED121A" w:rsidR="005625F7" w:rsidRPr="00FF0EBA" w:rsidRDefault="005625F7" w:rsidP="001C42BA">
            <w:pPr>
              <w:ind w:left="1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0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kundrejt  planit 202</w:t>
            </w:r>
            <w:r w:rsidR="00371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4</w:t>
            </w:r>
          </w:p>
        </w:tc>
      </w:tr>
      <w:tr w:rsidR="005625F7" w:rsidRPr="00FF0EBA" w14:paraId="1140AB14" w14:textId="77777777" w:rsidTr="00FF4CB8">
        <w:trPr>
          <w:trHeight w:val="70"/>
        </w:trPr>
        <w:tc>
          <w:tcPr>
            <w:tcW w:w="6003" w:type="dxa"/>
            <w:tcBorders>
              <w:right w:val="single" w:sz="8" w:space="0" w:color="auto"/>
            </w:tcBorders>
          </w:tcPr>
          <w:p w14:paraId="40DECF96" w14:textId="77777777" w:rsidR="005625F7" w:rsidRPr="00FF0EBA" w:rsidRDefault="005625F7" w:rsidP="005625F7">
            <w:pPr>
              <w:numPr>
                <w:ilvl w:val="0"/>
                <w:numId w:val="1"/>
              </w:numPr>
              <w:tabs>
                <w:tab w:val="left" w:pos="7020"/>
              </w:tabs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FF0EBA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Programi “Veprimtaria Audituese e KLSH-së”</w:t>
            </w:r>
          </w:p>
        </w:tc>
        <w:tc>
          <w:tcPr>
            <w:tcW w:w="3262" w:type="dxa"/>
            <w:tcBorders>
              <w:left w:val="single" w:sz="8" w:space="0" w:color="auto"/>
            </w:tcBorders>
          </w:tcPr>
          <w:p w14:paraId="3ECE73E3" w14:textId="667052AA" w:rsidR="005625F7" w:rsidRPr="00FF0EBA" w:rsidRDefault="0037179E" w:rsidP="00DA2040">
            <w:pPr>
              <w:tabs>
                <w:tab w:val="left" w:pos="70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29</w:t>
            </w:r>
            <w:r w:rsidR="005625F7" w:rsidRPr="00FF0EBA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 xml:space="preserve"> %</w:t>
            </w:r>
          </w:p>
        </w:tc>
      </w:tr>
    </w:tbl>
    <w:p w14:paraId="78EFC90C" w14:textId="77777777" w:rsidR="005625F7" w:rsidRPr="00FF0EBA" w:rsidRDefault="005625F7" w:rsidP="005625F7">
      <w:pPr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12D385E4" w14:textId="007B381D" w:rsidR="005625F7" w:rsidRDefault="005625F7" w:rsidP="005625F7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Siç shikohet nga tabela e mësipërme, shpenzimet në total për këtë institu</w:t>
      </w:r>
      <w:r w:rsidR="002E2E48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cion, janë realizuar në rreth </w:t>
      </w:r>
      <w:r w:rsidR="0037179E">
        <w:rPr>
          <w:rFonts w:ascii="Times New Roman" w:eastAsia="Calibri" w:hAnsi="Times New Roman" w:cs="Times New Roman"/>
          <w:sz w:val="24"/>
          <w:szCs w:val="24"/>
          <w:lang w:val="sq-AL"/>
        </w:rPr>
        <w:t>29</w:t>
      </w:r>
      <w:r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% </w:t>
      </w:r>
      <w:r w:rsidR="0037179E">
        <w:rPr>
          <w:rFonts w:ascii="Times New Roman" w:eastAsia="Calibri" w:hAnsi="Times New Roman" w:cs="Times New Roman"/>
          <w:sz w:val="24"/>
          <w:szCs w:val="24"/>
          <w:lang w:val="sq-AL"/>
        </w:rPr>
        <w:t>t</w:t>
      </w:r>
      <w:r w:rsidR="005554AF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e</w:t>
      </w:r>
      <w:r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planit vjetor</w:t>
      </w:r>
      <w:r w:rsidR="0037179E">
        <w:rPr>
          <w:rFonts w:ascii="Times New Roman" w:eastAsia="Calibri" w:hAnsi="Times New Roman" w:cs="Times New Roman"/>
          <w:sz w:val="24"/>
          <w:szCs w:val="24"/>
          <w:lang w:val="sq-AL"/>
        </w:rPr>
        <w:t>, ndersa sipas zerave te shpenzimeve paraqiten si m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37179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posht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37179E">
        <w:rPr>
          <w:rFonts w:ascii="Times New Roman" w:eastAsia="Calibri" w:hAnsi="Times New Roman" w:cs="Times New Roman"/>
          <w:sz w:val="24"/>
          <w:szCs w:val="24"/>
          <w:lang w:val="sq-AL"/>
        </w:rPr>
        <w:t>:</w:t>
      </w:r>
    </w:p>
    <w:p w14:paraId="29007722" w14:textId="6A65B53F" w:rsidR="0037179E" w:rsidRDefault="0037179E" w:rsidP="0037179E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>Shpenzimet e personelit jan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realizuar n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mas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n 29% t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planit vjetor i cili 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sht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akorduar p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r numrin e planifikuar t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punonj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sve prej 243 punonjesish.</w:t>
      </w:r>
    </w:p>
    <w:p w14:paraId="2E8D8131" w14:textId="23DFC494" w:rsidR="003F4F9E" w:rsidRDefault="003F4F9E" w:rsidP="0037179E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>Shpenzimet e tjera korrente jan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realizuar n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mas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n 32% t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planit vjetor, ku pjes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n m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madhe t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shpenzimeve korrente e z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n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shpenzimet p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r mallra e sh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rbime, ku p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rfshihen shpenzimet p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r sh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rbimin e siguris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, drita, uj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, telefon, kancelari, etj., shpenzime p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r udh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tim e dieta brenda vendit., sh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rbim interneti, mirembajtje te rrjetit dhe sistemit te IT.</w:t>
      </w:r>
    </w:p>
    <w:p w14:paraId="5A852A4B" w14:textId="1D01CB2A" w:rsidR="00615B9F" w:rsidRDefault="00615B9F" w:rsidP="0037179E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>Për shpenzimet kapitale deri ne fund te 4 mujorit nuk ka shpenzime faktike të realizuara.</w:t>
      </w:r>
    </w:p>
    <w:p w14:paraId="60F7B34E" w14:textId="4C2C8265" w:rsidR="00615B9F" w:rsidRPr="0037179E" w:rsidRDefault="00615B9F" w:rsidP="00615B9F">
      <w:pPr>
        <w:pStyle w:val="ListParagraph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Deri ne fund te 4 mujorit te parë është realizuar prokurimi për projektin “Blerje automjeti” me vlerë 5 200 mijë lekë, procedurë e cila është në proces. </w:t>
      </w:r>
    </w:p>
    <w:p w14:paraId="57C42C88" w14:textId="77777777" w:rsidR="005625F7" w:rsidRPr="00FF0EBA" w:rsidRDefault="005625F7" w:rsidP="005625F7">
      <w:pPr>
        <w:spacing w:line="240" w:lineRule="auto"/>
        <w:ind w:left="900" w:hanging="54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FF0EBA">
        <w:rPr>
          <w:rFonts w:ascii="Times New Roman" w:eastAsia="Calibri" w:hAnsi="Times New Roman" w:cs="Times New Roman"/>
          <w:b/>
          <w:sz w:val="24"/>
          <w:szCs w:val="24"/>
          <w:lang w:val="sq-AL"/>
        </w:rPr>
        <w:t>III. Informacion mbi volumin dhe madhësinë e ndryshimit të buxhetit.</w:t>
      </w:r>
    </w:p>
    <w:p w14:paraId="1BED39CC" w14:textId="64FA86C5" w:rsidR="005625F7" w:rsidRPr="00FF0EBA" w:rsidRDefault="005625F7" w:rsidP="00562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Situata në lidhje me ndryshimet në planifikim gjatë </w:t>
      </w:r>
      <w:r w:rsidR="008521E8">
        <w:rPr>
          <w:rFonts w:ascii="Times New Roman" w:eastAsia="Calibri" w:hAnsi="Times New Roman" w:cs="Times New Roman"/>
          <w:sz w:val="24"/>
          <w:szCs w:val="24"/>
          <w:lang w:val="sq-AL"/>
        </w:rPr>
        <w:t>4 mujorit t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521E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I 2024</w:t>
      </w:r>
      <w:r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, përfshirë këtu buxhetin fillestar, paraqitet në tabelën e mëposhtme:</w:t>
      </w:r>
    </w:p>
    <w:p w14:paraId="76CEF929" w14:textId="77777777" w:rsidR="005625F7" w:rsidRPr="00FF0EBA" w:rsidRDefault="005625F7" w:rsidP="00562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7D39809E" w14:textId="77777777" w:rsidR="005625F7" w:rsidRPr="00FF0EBA" w:rsidRDefault="005625F7" w:rsidP="005625F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</w:pPr>
      <w:r w:rsidRPr="00FF0EBA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Ne mije  leke</w:t>
      </w: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620"/>
        <w:gridCol w:w="1915"/>
        <w:gridCol w:w="1570"/>
      </w:tblGrid>
      <w:tr w:rsidR="005625F7" w:rsidRPr="00FF0EBA" w14:paraId="061C4A73" w14:textId="77777777" w:rsidTr="0009258B">
        <w:tc>
          <w:tcPr>
            <w:tcW w:w="4140" w:type="dxa"/>
          </w:tcPr>
          <w:p w14:paraId="22082ECD" w14:textId="77777777" w:rsidR="005625F7" w:rsidRPr="00FF0EBA" w:rsidRDefault="005625F7" w:rsidP="00562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2EF83CA0" w14:textId="77777777" w:rsidR="005625F7" w:rsidRPr="00FF0EBA" w:rsidRDefault="005625F7" w:rsidP="00562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0EBA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Programet</w:t>
            </w:r>
          </w:p>
        </w:tc>
        <w:tc>
          <w:tcPr>
            <w:tcW w:w="1620" w:type="dxa"/>
          </w:tcPr>
          <w:p w14:paraId="043A8AEA" w14:textId="236690F0" w:rsidR="005625F7" w:rsidRPr="00FF0EBA" w:rsidRDefault="005625F7" w:rsidP="00DA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0EBA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Buxheti fillestar 202</w:t>
            </w:r>
            <w:r w:rsidR="008521E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1915" w:type="dxa"/>
          </w:tcPr>
          <w:p w14:paraId="54EFDCBE" w14:textId="77777777" w:rsidR="005625F7" w:rsidRPr="00FF0EBA" w:rsidRDefault="005625F7" w:rsidP="00562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0EBA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Buxheti me ndryshime</w:t>
            </w:r>
          </w:p>
        </w:tc>
        <w:tc>
          <w:tcPr>
            <w:tcW w:w="1570" w:type="dxa"/>
          </w:tcPr>
          <w:p w14:paraId="10F44589" w14:textId="77777777" w:rsidR="005625F7" w:rsidRPr="00FF0EBA" w:rsidRDefault="005625F7" w:rsidP="00562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0EBA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Diferenca</w:t>
            </w:r>
          </w:p>
        </w:tc>
      </w:tr>
      <w:tr w:rsidR="005625F7" w:rsidRPr="00FF0EBA" w14:paraId="55C88993" w14:textId="77777777" w:rsidTr="0009258B">
        <w:trPr>
          <w:trHeight w:val="233"/>
        </w:trPr>
        <w:tc>
          <w:tcPr>
            <w:tcW w:w="4140" w:type="dxa"/>
          </w:tcPr>
          <w:p w14:paraId="0660E1AB" w14:textId="77777777" w:rsidR="005625F7" w:rsidRPr="00FF0EBA" w:rsidRDefault="005625F7" w:rsidP="005625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14:paraId="4DBDFFF6" w14:textId="77777777" w:rsidR="005625F7" w:rsidRPr="00FF0EBA" w:rsidRDefault="005625F7" w:rsidP="00562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0EBA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(1)</w:t>
            </w:r>
          </w:p>
        </w:tc>
        <w:tc>
          <w:tcPr>
            <w:tcW w:w="1915" w:type="dxa"/>
          </w:tcPr>
          <w:p w14:paraId="0D116BF8" w14:textId="77777777" w:rsidR="005625F7" w:rsidRPr="00FF0EBA" w:rsidRDefault="005625F7" w:rsidP="00562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0EBA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(2)</w:t>
            </w:r>
          </w:p>
        </w:tc>
        <w:tc>
          <w:tcPr>
            <w:tcW w:w="1570" w:type="dxa"/>
          </w:tcPr>
          <w:p w14:paraId="7067B646" w14:textId="77777777" w:rsidR="005625F7" w:rsidRPr="00FF0EBA" w:rsidRDefault="005625F7" w:rsidP="00562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0EBA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(3=2-1)</w:t>
            </w:r>
          </w:p>
        </w:tc>
      </w:tr>
      <w:tr w:rsidR="005625F7" w:rsidRPr="00FF0EBA" w14:paraId="304B7BA8" w14:textId="77777777" w:rsidTr="0009258B">
        <w:trPr>
          <w:trHeight w:val="287"/>
        </w:trPr>
        <w:tc>
          <w:tcPr>
            <w:tcW w:w="4140" w:type="dxa"/>
          </w:tcPr>
          <w:p w14:paraId="0952A6D8" w14:textId="77777777" w:rsidR="005625F7" w:rsidRPr="00FF0EBA" w:rsidRDefault="005625F7" w:rsidP="00562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F0EBA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Veprimtaria Audituese e KLSH-së</w:t>
            </w:r>
          </w:p>
        </w:tc>
        <w:tc>
          <w:tcPr>
            <w:tcW w:w="1620" w:type="dxa"/>
          </w:tcPr>
          <w:p w14:paraId="42D76929" w14:textId="5F38DE7A" w:rsidR="005625F7" w:rsidRPr="00FF0EBA" w:rsidRDefault="008521E8" w:rsidP="008A0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684 000</w:t>
            </w:r>
          </w:p>
        </w:tc>
        <w:tc>
          <w:tcPr>
            <w:tcW w:w="1915" w:type="dxa"/>
          </w:tcPr>
          <w:p w14:paraId="5CEA28AD" w14:textId="1BC14902" w:rsidR="005625F7" w:rsidRPr="00FF0EBA" w:rsidRDefault="008521E8" w:rsidP="008A0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685 500</w:t>
            </w:r>
          </w:p>
        </w:tc>
        <w:tc>
          <w:tcPr>
            <w:tcW w:w="1570" w:type="dxa"/>
          </w:tcPr>
          <w:p w14:paraId="1E276C70" w14:textId="66BA8CB2" w:rsidR="005625F7" w:rsidRPr="00FF0EBA" w:rsidRDefault="008521E8" w:rsidP="008A0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1 500</w:t>
            </w:r>
          </w:p>
          <w:p w14:paraId="6977B444" w14:textId="77777777" w:rsidR="00D57194" w:rsidRPr="00FF0EBA" w:rsidRDefault="00D57194" w:rsidP="008A0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5AD3A589" w14:textId="77777777" w:rsidR="005625F7" w:rsidRPr="00FF0EBA" w:rsidRDefault="005625F7" w:rsidP="005625F7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7ECBF61B" w14:textId="565AF8E6" w:rsidR="0026521F" w:rsidRPr="00FF0EBA" w:rsidRDefault="005625F7" w:rsidP="0026521F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Pra siç shikohet nga tabela në krahasim me ligjin fillestar plani ka ndryshime. Ndryshimet përfaqësojnë ndryshimet e planit të buxhetit nga fondet e akorduara si fonde shtesë nga fondi i veçantë</w:t>
      </w:r>
      <w:r w:rsidR="008521E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gjat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521E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4 mujorit t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521E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par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521E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2024.</w:t>
      </w:r>
    </w:p>
    <w:p w14:paraId="0E211759" w14:textId="77777777" w:rsidR="005625F7" w:rsidRPr="00FF0EBA" w:rsidRDefault="005625F7" w:rsidP="00562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2357933A" w14:textId="77777777" w:rsidR="005625F7" w:rsidRPr="00FF0EBA" w:rsidRDefault="005625F7" w:rsidP="002923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F0EBA">
        <w:rPr>
          <w:rFonts w:ascii="Times New Roman" w:eastAsia="Calibri" w:hAnsi="Times New Roman" w:cs="Times New Roman"/>
          <w:b/>
          <w:sz w:val="24"/>
          <w:szCs w:val="24"/>
          <w:lang w:val="sq-AL"/>
        </w:rPr>
        <w:lastRenderedPageBreak/>
        <w:t xml:space="preserve">Komente dhe rekomandime                                                                     </w:t>
      </w:r>
    </w:p>
    <w:p w14:paraId="71B7E7B7" w14:textId="77777777" w:rsidR="00C26022" w:rsidRPr="00FF0EBA" w:rsidRDefault="00C26022" w:rsidP="00C2602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37415AE8" w14:textId="28F20526" w:rsidR="00290745" w:rsidRPr="00FF0EBA" w:rsidRDefault="00290745" w:rsidP="00290745">
      <w:pPr>
        <w:numPr>
          <w:ilvl w:val="0"/>
          <w:numId w:val="5"/>
        </w:numPr>
        <w:spacing w:after="120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FF0E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Vlerësojmë respektimin nga ana </w:t>
      </w:r>
      <w:r w:rsidR="00FF0EBA" w:rsidRPr="00FF0EBA">
        <w:rPr>
          <w:rFonts w:ascii="Times New Roman" w:hAnsi="Times New Roman" w:cs="Times New Roman"/>
          <w:bCs/>
          <w:sz w:val="24"/>
          <w:szCs w:val="24"/>
          <w:lang w:val="sq-AL"/>
        </w:rPr>
        <w:t>e institucionit</w:t>
      </w:r>
      <w:r w:rsidRPr="00FF0E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të afatit të paraqitjes së këtij raporti, të përcaktuar në udhëzimin nr. </w:t>
      </w:r>
      <w:r w:rsidR="00FF0EBA" w:rsidRPr="00FF0EBA">
        <w:rPr>
          <w:rFonts w:ascii="Times New Roman" w:hAnsi="Times New Roman" w:cs="Times New Roman"/>
          <w:bCs/>
          <w:sz w:val="24"/>
          <w:szCs w:val="24"/>
          <w:lang w:val="sq-AL"/>
        </w:rPr>
        <w:t>14</w:t>
      </w:r>
      <w:r w:rsidRPr="00FF0E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, datë </w:t>
      </w:r>
      <w:r w:rsidR="00FF0EBA" w:rsidRPr="00FF0EBA">
        <w:rPr>
          <w:rFonts w:ascii="Times New Roman" w:hAnsi="Times New Roman" w:cs="Times New Roman"/>
          <w:bCs/>
          <w:sz w:val="24"/>
          <w:szCs w:val="24"/>
          <w:lang w:val="sq-AL"/>
        </w:rPr>
        <w:t>30</w:t>
      </w:r>
      <w:r w:rsidRPr="00FF0EBA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  <w:r w:rsidR="00FF0EBA" w:rsidRPr="00FF0EBA">
        <w:rPr>
          <w:rFonts w:ascii="Times New Roman" w:hAnsi="Times New Roman" w:cs="Times New Roman"/>
          <w:bCs/>
          <w:sz w:val="24"/>
          <w:szCs w:val="24"/>
          <w:lang w:val="sq-AL"/>
        </w:rPr>
        <w:t>05</w:t>
      </w:r>
      <w:r w:rsidRPr="00FF0EBA">
        <w:rPr>
          <w:rFonts w:ascii="Times New Roman" w:hAnsi="Times New Roman" w:cs="Times New Roman"/>
          <w:bCs/>
          <w:sz w:val="24"/>
          <w:szCs w:val="24"/>
          <w:lang w:val="sq-AL"/>
        </w:rPr>
        <w:t>.20</w:t>
      </w:r>
      <w:r w:rsidR="00FF0EBA" w:rsidRPr="00FF0EBA">
        <w:rPr>
          <w:rFonts w:ascii="Times New Roman" w:hAnsi="Times New Roman" w:cs="Times New Roman"/>
          <w:bCs/>
          <w:sz w:val="24"/>
          <w:szCs w:val="24"/>
          <w:lang w:val="sq-AL"/>
        </w:rPr>
        <w:t>23</w:t>
      </w:r>
      <w:r w:rsidRPr="00FF0EBA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</w:p>
    <w:p w14:paraId="614940D5" w14:textId="140FE942" w:rsidR="00290745" w:rsidRPr="00FF0EBA" w:rsidRDefault="00290745" w:rsidP="00290745">
      <w:pPr>
        <w:numPr>
          <w:ilvl w:val="0"/>
          <w:numId w:val="5"/>
        </w:numPr>
        <w:spacing w:after="120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FF0E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Vëmë në dukje se paraqitja e informacionit si edhe të dhënat e raportuara në raportin e monitorimit </w:t>
      </w:r>
      <w:r w:rsidR="008521E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nuk </w:t>
      </w:r>
      <w:r w:rsidRPr="00FF0E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janë sipas formateve të përcaktuara në paragrafin 49, të Udhëzimit nr. </w:t>
      </w:r>
      <w:r w:rsidR="00FF0EBA" w:rsidRPr="00FF0EBA">
        <w:rPr>
          <w:rFonts w:ascii="Times New Roman" w:hAnsi="Times New Roman" w:cs="Times New Roman"/>
          <w:bCs/>
          <w:sz w:val="24"/>
          <w:szCs w:val="24"/>
          <w:lang w:val="sq-AL"/>
        </w:rPr>
        <w:t>14</w:t>
      </w:r>
      <w:r w:rsidRPr="00FF0E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datë </w:t>
      </w:r>
      <w:r w:rsidR="00FF0EBA" w:rsidRPr="00FF0EBA">
        <w:rPr>
          <w:rFonts w:ascii="Times New Roman" w:hAnsi="Times New Roman" w:cs="Times New Roman"/>
          <w:bCs/>
          <w:sz w:val="24"/>
          <w:szCs w:val="24"/>
          <w:lang w:val="sq-AL"/>
        </w:rPr>
        <w:t>30.05</w:t>
      </w:r>
      <w:r w:rsidRPr="00FF0EBA">
        <w:rPr>
          <w:rFonts w:ascii="Times New Roman" w:hAnsi="Times New Roman" w:cs="Times New Roman"/>
          <w:bCs/>
          <w:sz w:val="24"/>
          <w:szCs w:val="24"/>
          <w:lang w:val="sq-AL"/>
        </w:rPr>
        <w:t>.20</w:t>
      </w:r>
      <w:r w:rsidR="00FF0EBA" w:rsidRPr="00FF0EBA">
        <w:rPr>
          <w:rFonts w:ascii="Times New Roman" w:hAnsi="Times New Roman" w:cs="Times New Roman"/>
          <w:bCs/>
          <w:sz w:val="24"/>
          <w:szCs w:val="24"/>
          <w:lang w:val="sq-AL"/>
        </w:rPr>
        <w:t>23</w:t>
      </w:r>
      <w:r w:rsidRPr="00FF0E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, </w:t>
      </w:r>
      <w:r w:rsidR="008521E8">
        <w:rPr>
          <w:rFonts w:ascii="Times New Roman" w:hAnsi="Times New Roman" w:cs="Times New Roman"/>
          <w:bCs/>
          <w:sz w:val="24"/>
          <w:szCs w:val="24"/>
          <w:lang w:val="sq-AL"/>
        </w:rPr>
        <w:t>pra nuk jan</w:t>
      </w:r>
      <w:r w:rsidR="00CB502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8521E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gjeneruar anekset p</w:t>
      </w:r>
      <w:r w:rsidR="00CB502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8521E8">
        <w:rPr>
          <w:rFonts w:ascii="Times New Roman" w:hAnsi="Times New Roman" w:cs="Times New Roman"/>
          <w:bCs/>
          <w:sz w:val="24"/>
          <w:szCs w:val="24"/>
          <w:lang w:val="sq-AL"/>
        </w:rPr>
        <w:t>rkat</w:t>
      </w:r>
      <w:r w:rsidR="00CB502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8521E8">
        <w:rPr>
          <w:rFonts w:ascii="Times New Roman" w:hAnsi="Times New Roman" w:cs="Times New Roman"/>
          <w:bCs/>
          <w:sz w:val="24"/>
          <w:szCs w:val="24"/>
          <w:lang w:val="sq-AL"/>
        </w:rPr>
        <w:t>se t</w:t>
      </w:r>
      <w:r w:rsidR="00CB502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8521E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raportit t</w:t>
      </w:r>
      <w:r w:rsidR="00CB502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8521E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monitorimit nga sistemi AFMIS.</w:t>
      </w:r>
    </w:p>
    <w:p w14:paraId="3E3ACC7D" w14:textId="79C5AFE5" w:rsidR="00FF0EBA" w:rsidRPr="00FF0EBA" w:rsidRDefault="00290745" w:rsidP="00FF0EBA">
      <w:pPr>
        <w:numPr>
          <w:ilvl w:val="0"/>
          <w:numId w:val="5"/>
        </w:numPr>
        <w:spacing w:after="120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FF0EBA">
        <w:rPr>
          <w:rFonts w:ascii="Times New Roman" w:hAnsi="Times New Roman" w:cs="Times New Roman"/>
          <w:bCs/>
          <w:sz w:val="24"/>
          <w:szCs w:val="24"/>
          <w:lang w:val="sq-AL"/>
        </w:rPr>
        <w:t>Konstatojm</w:t>
      </w:r>
      <w:r w:rsidR="00CB502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ë </w:t>
      </w:r>
      <w:r w:rsidRPr="00FF0EBA">
        <w:rPr>
          <w:rFonts w:ascii="Times New Roman" w:hAnsi="Times New Roman" w:cs="Times New Roman"/>
          <w:bCs/>
          <w:sz w:val="24"/>
          <w:szCs w:val="24"/>
          <w:lang w:val="sq-AL"/>
        </w:rPr>
        <w:t>gjithashtu se vlera faktike e produkteve nga ana sasiore</w:t>
      </w:r>
      <w:r w:rsidR="008521E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nuk shfaqe</w:t>
      </w:r>
      <w:r w:rsidR="00CB5020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="008521E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</w:t>
      </w:r>
      <w:r w:rsidR="00CB502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8521E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FF0EBA">
        <w:rPr>
          <w:rFonts w:ascii="Times New Roman" w:hAnsi="Times New Roman" w:cs="Times New Roman"/>
          <w:bCs/>
          <w:sz w:val="24"/>
          <w:szCs w:val="24"/>
          <w:lang w:val="sq-AL"/>
        </w:rPr>
        <w:t>sistemin AFMIS</w:t>
      </w:r>
      <w:r w:rsidR="008521E8">
        <w:rPr>
          <w:rFonts w:ascii="Times New Roman" w:hAnsi="Times New Roman" w:cs="Times New Roman"/>
          <w:bCs/>
          <w:sz w:val="24"/>
          <w:szCs w:val="24"/>
          <w:lang w:val="sq-AL"/>
        </w:rPr>
        <w:t>, pra</w:t>
      </w:r>
      <w:r w:rsidRPr="00FF0E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këto të dhëna nuk </w:t>
      </w:r>
      <w:r w:rsidR="00FF0EBA" w:rsidRPr="00FF0EBA">
        <w:rPr>
          <w:rFonts w:ascii="Times New Roman" w:hAnsi="Times New Roman" w:cs="Times New Roman"/>
          <w:bCs/>
          <w:sz w:val="24"/>
          <w:szCs w:val="24"/>
          <w:lang w:val="sq-AL"/>
        </w:rPr>
        <w:t>jane rregjistruar nga ana e institucionit. T</w:t>
      </w:r>
      <w:r w:rsidR="00CB502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FF0EBA" w:rsidRPr="00FF0E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dh</w:t>
      </w:r>
      <w:r w:rsidR="00CB502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FF0EBA" w:rsidRPr="00FF0EBA">
        <w:rPr>
          <w:rFonts w:ascii="Times New Roman" w:hAnsi="Times New Roman" w:cs="Times New Roman"/>
          <w:bCs/>
          <w:sz w:val="24"/>
          <w:szCs w:val="24"/>
          <w:lang w:val="sq-AL"/>
        </w:rPr>
        <w:t>nat faktike t</w:t>
      </w:r>
      <w:r w:rsidR="00CB502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FF0EBA" w:rsidRPr="00FF0E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produkteve jan</w:t>
      </w:r>
      <w:r w:rsidR="00CB502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FF0EBA" w:rsidRPr="00FF0E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paraqitur n</w:t>
      </w:r>
      <w:r w:rsidR="004F2083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FF0EBA" w:rsidRPr="00FF0E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informacionin narrativ t</w:t>
      </w:r>
      <w:r w:rsidR="004F2083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FF0EBA" w:rsidRPr="00FF0E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raportit t</w:t>
      </w:r>
      <w:r w:rsidR="004F2083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FF0EBA" w:rsidRPr="00FF0E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monitorimit.</w:t>
      </w:r>
    </w:p>
    <w:p w14:paraId="1D73E16F" w14:textId="77777777" w:rsidR="00FF0EBA" w:rsidRPr="00FF0EBA" w:rsidRDefault="00FF0EBA" w:rsidP="00FF0EBA">
      <w:pPr>
        <w:spacing w:after="120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3F9F91BB" w14:textId="70C3AA94" w:rsidR="005625F7" w:rsidRPr="00FF0EBA" w:rsidRDefault="005625F7" w:rsidP="00FF0EBA">
      <w:pPr>
        <w:numPr>
          <w:ilvl w:val="0"/>
          <w:numId w:val="5"/>
        </w:numPr>
        <w:spacing w:after="120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FF0EB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VI. Publikimi </w:t>
      </w:r>
    </w:p>
    <w:p w14:paraId="67A694CA" w14:textId="1CF8D3B1" w:rsidR="005625F7" w:rsidRPr="00FF0EBA" w:rsidRDefault="005625F7" w:rsidP="005625F7">
      <w:pPr>
        <w:jc w:val="both"/>
        <w:rPr>
          <w:rFonts w:ascii="Times New Roman" w:eastAsia="Calibri" w:hAnsi="Times New Roman" w:cs="Times New Roman"/>
          <w:b/>
          <w:color w:val="000080"/>
          <w:sz w:val="24"/>
          <w:szCs w:val="24"/>
          <w:u w:val="single"/>
          <w:lang w:val="sq-AL"/>
        </w:rPr>
      </w:pPr>
      <w:r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Raporti i Monitorimit për </w:t>
      </w:r>
      <w:r w:rsidR="008521E8">
        <w:rPr>
          <w:rFonts w:ascii="Times New Roman" w:eastAsia="Calibri" w:hAnsi="Times New Roman" w:cs="Times New Roman"/>
          <w:sz w:val="24"/>
          <w:szCs w:val="24"/>
          <w:lang w:val="sq-AL"/>
        </w:rPr>
        <w:t>4 mujo</w:t>
      </w:r>
      <w:r w:rsidR="00CB5020">
        <w:rPr>
          <w:rFonts w:ascii="Times New Roman" w:eastAsia="Calibri" w:hAnsi="Times New Roman" w:cs="Times New Roman"/>
          <w:sz w:val="24"/>
          <w:szCs w:val="24"/>
          <w:lang w:val="sq-AL"/>
        </w:rPr>
        <w:t>r</w:t>
      </w:r>
      <w:r w:rsidR="008521E8">
        <w:rPr>
          <w:rFonts w:ascii="Times New Roman" w:eastAsia="Calibri" w:hAnsi="Times New Roman" w:cs="Times New Roman"/>
          <w:sz w:val="24"/>
          <w:szCs w:val="24"/>
          <w:lang w:val="sq-AL"/>
        </w:rPr>
        <w:t>in e I</w:t>
      </w:r>
      <w:r w:rsidR="002412E2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225BCE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202</w:t>
      </w:r>
      <w:r w:rsidR="008521E8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="00F15D00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>,</w:t>
      </w:r>
      <w:r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është publikuar në faqen zyrtare të</w:t>
      </w:r>
      <w:r w:rsidR="00601E84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Kontrollit të Lartë të Shtetit, n</w:t>
      </w:r>
      <w:r w:rsidR="004F2083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601E84" w:rsidRPr="00FF0E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linkun e meposhtem;</w:t>
      </w:r>
    </w:p>
    <w:p w14:paraId="7CA6EBC3" w14:textId="3605DF1B" w:rsidR="005625F7" w:rsidRDefault="00615B9F" w:rsidP="005625F7">
      <w:pPr>
        <w:rPr>
          <w:rFonts w:ascii="Times New Roman" w:eastAsia="Calibri" w:hAnsi="Times New Roman" w:cs="Times New Roman"/>
          <w:sz w:val="24"/>
          <w:szCs w:val="24"/>
          <w:lang w:val="sq-AL"/>
        </w:rPr>
      </w:pPr>
      <w:hyperlink r:id="rId5" w:history="1">
        <w:r w:rsidRPr="00672FB3">
          <w:rPr>
            <w:rStyle w:val="Hyperlink"/>
            <w:rFonts w:ascii="Times New Roman" w:eastAsia="Calibri" w:hAnsi="Times New Roman" w:cs="Times New Roman"/>
            <w:sz w:val="24"/>
            <w:szCs w:val="24"/>
            <w:lang w:val="sq-AL"/>
          </w:rPr>
          <w:t>https://www.klsh.org.al/content_pdf/18</w:t>
        </w:r>
      </w:hyperlink>
    </w:p>
    <w:p w14:paraId="4EB1255F" w14:textId="77777777" w:rsidR="00615B9F" w:rsidRDefault="00615B9F" w:rsidP="005625F7">
      <w:pPr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39D6648C" w14:textId="77777777" w:rsidR="009064B6" w:rsidRDefault="009064B6" w:rsidP="005625F7">
      <w:pPr>
        <w:rPr>
          <w:rStyle w:val="Hyperlink"/>
          <w:rFonts w:ascii="Times New Roman" w:eastAsia="Calibri" w:hAnsi="Times New Roman" w:cs="Times New Roman"/>
          <w:sz w:val="24"/>
          <w:szCs w:val="24"/>
          <w:lang w:val="sq-AL"/>
        </w:rPr>
      </w:pPr>
    </w:p>
    <w:p w14:paraId="42614009" w14:textId="77777777" w:rsidR="00CB5020" w:rsidRPr="00FF0EBA" w:rsidRDefault="00CB5020" w:rsidP="005625F7">
      <w:pPr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4A8F3429" w14:textId="77777777" w:rsidR="008F1305" w:rsidRPr="00FF0EBA" w:rsidRDefault="008F1305" w:rsidP="005625F7">
      <w:pPr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2AAF84A3" w14:textId="77777777" w:rsidR="008A0CA2" w:rsidRPr="00FF0EBA" w:rsidRDefault="008A0CA2" w:rsidP="005625F7">
      <w:pPr>
        <w:rPr>
          <w:rStyle w:val="Hyperlink"/>
          <w:rFonts w:ascii="Times New Roman" w:eastAsia="Calibri" w:hAnsi="Times New Roman" w:cs="Times New Roman"/>
          <w:sz w:val="24"/>
          <w:szCs w:val="24"/>
          <w:lang w:val="sq-AL"/>
        </w:rPr>
      </w:pPr>
    </w:p>
    <w:p w14:paraId="2A80312A" w14:textId="77777777" w:rsidR="008A0CA2" w:rsidRPr="00FF0EBA" w:rsidRDefault="008A0CA2" w:rsidP="005625F7">
      <w:pPr>
        <w:rPr>
          <w:rStyle w:val="Hyperlink"/>
          <w:rFonts w:ascii="Times New Roman" w:eastAsia="Calibri" w:hAnsi="Times New Roman" w:cs="Times New Roman"/>
          <w:sz w:val="24"/>
          <w:szCs w:val="24"/>
          <w:lang w:val="sq-AL"/>
        </w:rPr>
      </w:pPr>
    </w:p>
    <w:p w14:paraId="12EAEAD5" w14:textId="77777777" w:rsidR="00290745" w:rsidRPr="00FF0EBA" w:rsidRDefault="00290745" w:rsidP="005625F7">
      <w:pPr>
        <w:rPr>
          <w:rStyle w:val="Hyperlink"/>
          <w:rFonts w:ascii="Times New Roman" w:eastAsia="Calibri" w:hAnsi="Times New Roman" w:cs="Times New Roman"/>
          <w:sz w:val="24"/>
          <w:szCs w:val="24"/>
          <w:lang w:val="sq-AL"/>
        </w:rPr>
      </w:pPr>
    </w:p>
    <w:p w14:paraId="593FA74C" w14:textId="77777777" w:rsidR="00290745" w:rsidRPr="00FF0EBA" w:rsidRDefault="00290745" w:rsidP="005625F7">
      <w:pPr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7A01F81B" w14:textId="77777777" w:rsidR="00601E84" w:rsidRPr="00FF0EBA" w:rsidRDefault="00601E84" w:rsidP="005625F7">
      <w:pPr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38981A6C" w14:textId="77777777" w:rsidR="00745E21" w:rsidRPr="00FF0EBA" w:rsidRDefault="00745E21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745E21" w:rsidRPr="00FF0EBA" w:rsidSect="00290745">
      <w:pgSz w:w="12240" w:h="15840"/>
      <w:pgMar w:top="450" w:right="108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3C00"/>
    <w:multiLevelType w:val="hybridMultilevel"/>
    <w:tmpl w:val="377CDF6A"/>
    <w:lvl w:ilvl="0" w:tplc="040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CAC4E36"/>
    <w:multiLevelType w:val="hybridMultilevel"/>
    <w:tmpl w:val="EEBC290A"/>
    <w:lvl w:ilvl="0" w:tplc="C0F4C9B0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C0B08"/>
    <w:multiLevelType w:val="hybridMultilevel"/>
    <w:tmpl w:val="C22C872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2930A6C"/>
    <w:multiLevelType w:val="hybridMultilevel"/>
    <w:tmpl w:val="9CA87120"/>
    <w:lvl w:ilvl="0" w:tplc="38BAA7E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50DB7"/>
    <w:multiLevelType w:val="hybridMultilevel"/>
    <w:tmpl w:val="ABB00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03E22"/>
    <w:multiLevelType w:val="hybridMultilevel"/>
    <w:tmpl w:val="40E61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421FF7"/>
    <w:multiLevelType w:val="hybridMultilevel"/>
    <w:tmpl w:val="C7940BB6"/>
    <w:lvl w:ilvl="0" w:tplc="B2587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46E1D"/>
    <w:multiLevelType w:val="hybridMultilevel"/>
    <w:tmpl w:val="85CEA7A8"/>
    <w:lvl w:ilvl="0" w:tplc="143227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51690">
    <w:abstractNumId w:val="5"/>
  </w:num>
  <w:num w:numId="2" w16cid:durableId="1116026443">
    <w:abstractNumId w:val="0"/>
  </w:num>
  <w:num w:numId="3" w16cid:durableId="426342085">
    <w:abstractNumId w:val="6"/>
  </w:num>
  <w:num w:numId="4" w16cid:durableId="1853258900">
    <w:abstractNumId w:val="3"/>
  </w:num>
  <w:num w:numId="5" w16cid:durableId="411048416">
    <w:abstractNumId w:val="2"/>
  </w:num>
  <w:num w:numId="6" w16cid:durableId="855853377">
    <w:abstractNumId w:val="7"/>
  </w:num>
  <w:num w:numId="7" w16cid:durableId="498274796">
    <w:abstractNumId w:val="4"/>
  </w:num>
  <w:num w:numId="8" w16cid:durableId="415128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87"/>
    <w:rsid w:val="0000727F"/>
    <w:rsid w:val="0003312E"/>
    <w:rsid w:val="000A135E"/>
    <w:rsid w:val="00132EAA"/>
    <w:rsid w:val="00151987"/>
    <w:rsid w:val="00167CB4"/>
    <w:rsid w:val="001A4A51"/>
    <w:rsid w:val="001B1E6B"/>
    <w:rsid w:val="001C42BA"/>
    <w:rsid w:val="001D17A7"/>
    <w:rsid w:val="001D337C"/>
    <w:rsid w:val="00225BCE"/>
    <w:rsid w:val="002412E2"/>
    <w:rsid w:val="0026521F"/>
    <w:rsid w:val="002776C8"/>
    <w:rsid w:val="00290745"/>
    <w:rsid w:val="00292340"/>
    <w:rsid w:val="002958B3"/>
    <w:rsid w:val="002E2E48"/>
    <w:rsid w:val="002F2FE4"/>
    <w:rsid w:val="0030044B"/>
    <w:rsid w:val="00310902"/>
    <w:rsid w:val="0037179E"/>
    <w:rsid w:val="003A5989"/>
    <w:rsid w:val="003F4F9E"/>
    <w:rsid w:val="00434BB8"/>
    <w:rsid w:val="00444B4C"/>
    <w:rsid w:val="004569F5"/>
    <w:rsid w:val="00483498"/>
    <w:rsid w:val="00494554"/>
    <w:rsid w:val="004B3829"/>
    <w:rsid w:val="004F2083"/>
    <w:rsid w:val="005554AF"/>
    <w:rsid w:val="005625F7"/>
    <w:rsid w:val="005E0A75"/>
    <w:rsid w:val="005F41AD"/>
    <w:rsid w:val="00601E84"/>
    <w:rsid w:val="006070EA"/>
    <w:rsid w:val="00611BFC"/>
    <w:rsid w:val="00615B9F"/>
    <w:rsid w:val="006242C2"/>
    <w:rsid w:val="0067323A"/>
    <w:rsid w:val="006A15C4"/>
    <w:rsid w:val="006D07A3"/>
    <w:rsid w:val="0070208E"/>
    <w:rsid w:val="00711CED"/>
    <w:rsid w:val="00745E21"/>
    <w:rsid w:val="007A31AD"/>
    <w:rsid w:val="007A60F1"/>
    <w:rsid w:val="007A6835"/>
    <w:rsid w:val="007C3A0D"/>
    <w:rsid w:val="007C4EC6"/>
    <w:rsid w:val="008261C7"/>
    <w:rsid w:val="008521E8"/>
    <w:rsid w:val="008A0CA2"/>
    <w:rsid w:val="008F1305"/>
    <w:rsid w:val="008F2BDF"/>
    <w:rsid w:val="009013DA"/>
    <w:rsid w:val="009064B6"/>
    <w:rsid w:val="009172AE"/>
    <w:rsid w:val="009963A5"/>
    <w:rsid w:val="009B0745"/>
    <w:rsid w:val="009C06CC"/>
    <w:rsid w:val="009E6FDE"/>
    <w:rsid w:val="009F0B71"/>
    <w:rsid w:val="00A044C7"/>
    <w:rsid w:val="00A052E0"/>
    <w:rsid w:val="00A55FD1"/>
    <w:rsid w:val="00B70C7C"/>
    <w:rsid w:val="00B96ECB"/>
    <w:rsid w:val="00BE4EC5"/>
    <w:rsid w:val="00C26022"/>
    <w:rsid w:val="00C533E8"/>
    <w:rsid w:val="00C6359C"/>
    <w:rsid w:val="00C868C0"/>
    <w:rsid w:val="00CA7B14"/>
    <w:rsid w:val="00CB129E"/>
    <w:rsid w:val="00CB5020"/>
    <w:rsid w:val="00D07EB7"/>
    <w:rsid w:val="00D13049"/>
    <w:rsid w:val="00D3427C"/>
    <w:rsid w:val="00D57194"/>
    <w:rsid w:val="00DA2040"/>
    <w:rsid w:val="00DA32CA"/>
    <w:rsid w:val="00DA4002"/>
    <w:rsid w:val="00DB29ED"/>
    <w:rsid w:val="00E0201A"/>
    <w:rsid w:val="00E0634B"/>
    <w:rsid w:val="00E21EB0"/>
    <w:rsid w:val="00E416A2"/>
    <w:rsid w:val="00E46D53"/>
    <w:rsid w:val="00E63D93"/>
    <w:rsid w:val="00E643FD"/>
    <w:rsid w:val="00E811B0"/>
    <w:rsid w:val="00E9431D"/>
    <w:rsid w:val="00EC0028"/>
    <w:rsid w:val="00F15D00"/>
    <w:rsid w:val="00F15DC2"/>
    <w:rsid w:val="00F35A6F"/>
    <w:rsid w:val="00F44BC2"/>
    <w:rsid w:val="00F5385C"/>
    <w:rsid w:val="00F74B7C"/>
    <w:rsid w:val="00FD6586"/>
    <w:rsid w:val="00FE571C"/>
    <w:rsid w:val="00FF0EBA"/>
    <w:rsid w:val="00FF4413"/>
    <w:rsid w:val="00FF4CB8"/>
    <w:rsid w:val="00FF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9F818"/>
  <w15:docId w15:val="{6F052328-DFB0-4F9B-B992-68D0431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E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13D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0CA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6C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F4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lsh.org.al/content_pdf/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ledjana gjoni</dc:creator>
  <cp:keywords/>
  <dc:description/>
  <cp:lastModifiedBy>Shpresa Karanxha</cp:lastModifiedBy>
  <cp:revision>4</cp:revision>
  <dcterms:created xsi:type="dcterms:W3CDTF">2024-08-08T10:36:00Z</dcterms:created>
  <dcterms:modified xsi:type="dcterms:W3CDTF">2024-08-08T10:49:00Z</dcterms:modified>
</cp:coreProperties>
</file>