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B7A7" w14:textId="77777777" w:rsidR="00227485" w:rsidRPr="00F909E8" w:rsidRDefault="00227485" w:rsidP="00227485">
      <w:pPr>
        <w:tabs>
          <w:tab w:val="left" w:pos="3870"/>
        </w:tabs>
        <w:spacing w:after="0"/>
        <w:rPr>
          <w:sz w:val="6"/>
          <w:szCs w:val="6"/>
        </w:rPr>
      </w:pPr>
      <w:r w:rsidRPr="008248D5">
        <w:rPr>
          <w:sz w:val="6"/>
          <w:szCs w:val="6"/>
        </w:rPr>
        <w:tab/>
      </w:r>
    </w:p>
    <w:p w14:paraId="4BFF536A" w14:textId="77777777" w:rsidR="00227485" w:rsidRDefault="00227485" w:rsidP="00227485">
      <w:pPr>
        <w:spacing w:after="0"/>
        <w:jc w:val="center"/>
        <w:rPr>
          <w:rFonts w:ascii="Times New Roman" w:hAnsi="Times New Roman"/>
          <w:b/>
        </w:rPr>
      </w:pPr>
    </w:p>
    <w:p w14:paraId="1D2FE9DE" w14:textId="77777777" w:rsidR="00227485" w:rsidRDefault="00227485" w:rsidP="00227485">
      <w:pPr>
        <w:spacing w:after="0"/>
        <w:jc w:val="center"/>
        <w:rPr>
          <w:rFonts w:ascii="Times New Roman" w:hAnsi="Times New Roman"/>
          <w:b/>
        </w:rPr>
      </w:pPr>
      <w:r w:rsidRPr="008248D5">
        <w:rPr>
          <w:noProof/>
          <w:sz w:val="6"/>
          <w:szCs w:val="6"/>
        </w:rPr>
        <w:drawing>
          <wp:anchor distT="0" distB="0" distL="114300" distR="114300" simplePos="0" relativeHeight="251659264" behindDoc="0" locked="0" layoutInCell="1" allowOverlap="1" wp14:anchorId="0882AF74" wp14:editId="18919D9B">
            <wp:simplePos x="0" y="0"/>
            <wp:positionH relativeFrom="margin">
              <wp:posOffset>-421640</wp:posOffset>
            </wp:positionH>
            <wp:positionV relativeFrom="margin">
              <wp:posOffset>352398</wp:posOffset>
            </wp:positionV>
            <wp:extent cx="6771005" cy="588010"/>
            <wp:effectExtent l="0" t="0" r="0" b="2540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>MINISTRIA E FINANCAVE</w:t>
      </w:r>
    </w:p>
    <w:p w14:paraId="522BB3C0" w14:textId="5AC871CF" w:rsidR="00227485" w:rsidRDefault="00227485" w:rsidP="00227485">
      <w:pPr>
        <w:spacing w:after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DREJTORIA E SHITJES</w:t>
      </w:r>
      <w:r>
        <w:rPr>
          <w:rFonts w:ascii="Times New Roman" w:hAnsi="Times New Roman"/>
          <w:b/>
          <w:caps/>
        </w:rPr>
        <w:t xml:space="preserve"> S</w:t>
      </w:r>
      <w:r>
        <w:rPr>
          <w:rFonts w:ascii="Times New Roman" w:hAnsi="Times New Roman"/>
          <w:b/>
          <w:caps/>
        </w:rPr>
        <w:t>Ë PRONËS PUBLIKE</w:t>
      </w:r>
    </w:p>
    <w:p w14:paraId="7F0475FA" w14:textId="77777777" w:rsidR="00227485" w:rsidRPr="00BE51D2" w:rsidRDefault="00227485" w:rsidP="00227485">
      <w:pPr>
        <w:rPr>
          <w:sz w:val="18"/>
          <w:szCs w:val="18"/>
        </w:rPr>
      </w:pPr>
    </w:p>
    <w:p w14:paraId="692EEA89" w14:textId="3821501C" w:rsidR="00227485" w:rsidRDefault="00227485" w:rsidP="0022748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zbatim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VKM Nr. </w:t>
      </w:r>
      <w:r>
        <w:rPr>
          <w:rFonts w:ascii="Times New Roman" w:hAnsi="Times New Roman"/>
          <w:sz w:val="24"/>
          <w:szCs w:val="24"/>
        </w:rPr>
        <w:t>926</w:t>
      </w:r>
      <w:r w:rsidRPr="008C7B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7BA4">
        <w:rPr>
          <w:rFonts w:ascii="Times New Roman" w:hAnsi="Times New Roman"/>
          <w:sz w:val="24"/>
          <w:szCs w:val="24"/>
        </w:rPr>
        <w:t>dat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29.12</w:t>
      </w:r>
      <w:r w:rsidRPr="008C7BA4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4</w:t>
      </w:r>
      <w:r w:rsidRPr="008C7BA4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8C7BA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8C7BA4">
        <w:rPr>
          <w:rFonts w:ascii="Times New Roman" w:hAnsi="Times New Roman"/>
          <w:sz w:val="24"/>
          <w:szCs w:val="24"/>
        </w:rPr>
        <w:t>r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kriteret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C7BA4">
        <w:rPr>
          <w:rFonts w:ascii="Times New Roman" w:hAnsi="Times New Roman"/>
          <w:sz w:val="24"/>
          <w:szCs w:val="24"/>
        </w:rPr>
        <w:t>vler</w:t>
      </w:r>
      <w:r>
        <w:rPr>
          <w:rFonts w:ascii="Times New Roman" w:hAnsi="Times New Roman"/>
          <w:sz w:val="24"/>
          <w:szCs w:val="24"/>
        </w:rPr>
        <w:t>ë</w:t>
      </w:r>
      <w:r w:rsidRPr="008C7BA4">
        <w:rPr>
          <w:rFonts w:ascii="Times New Roman" w:hAnsi="Times New Roman"/>
          <w:sz w:val="24"/>
          <w:szCs w:val="24"/>
        </w:rPr>
        <w:t>simit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pronë</w:t>
      </w:r>
      <w:r w:rsidRPr="008C7BA4">
        <w:rPr>
          <w:rFonts w:ascii="Times New Roman" w:hAnsi="Times New Roman"/>
          <w:sz w:val="24"/>
          <w:szCs w:val="24"/>
        </w:rPr>
        <w:t>s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shtet</w:t>
      </w:r>
      <w:r>
        <w:rPr>
          <w:rFonts w:ascii="Times New Roman" w:hAnsi="Times New Roman"/>
          <w:sz w:val="24"/>
          <w:szCs w:val="24"/>
        </w:rPr>
        <w:t>ë</w:t>
      </w:r>
      <w:r w:rsidRPr="008C7BA4">
        <w:rPr>
          <w:rFonts w:ascii="Times New Roman" w:hAnsi="Times New Roman"/>
          <w:sz w:val="24"/>
          <w:szCs w:val="24"/>
        </w:rPr>
        <w:t>rore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7BA4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BA4">
        <w:rPr>
          <w:rFonts w:ascii="Times New Roman" w:hAnsi="Times New Roman"/>
          <w:sz w:val="24"/>
          <w:szCs w:val="24"/>
        </w:rPr>
        <w:t>priva</w:t>
      </w:r>
      <w:r>
        <w:rPr>
          <w:rFonts w:ascii="Times New Roman" w:hAnsi="Times New Roman"/>
          <w:sz w:val="24"/>
          <w:szCs w:val="24"/>
        </w:rPr>
        <w:t>tizohet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transformohet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r w:rsidRPr="008C7BA4">
        <w:rPr>
          <w:rFonts w:ascii="Times New Roman" w:hAnsi="Times New Roman"/>
          <w:sz w:val="24"/>
          <w:szCs w:val="24"/>
        </w:rPr>
        <w:t>n</w:t>
      </w:r>
      <w:proofErr w:type="spellEnd"/>
      <w:r w:rsidRPr="008C7BA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742B3">
        <w:rPr>
          <w:rFonts w:ascii="Times New Roman" w:hAnsi="Times New Roman"/>
          <w:sz w:val="24"/>
          <w:szCs w:val="24"/>
        </w:rPr>
        <w:t>shitjes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",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kapitulli</w:t>
      </w:r>
      <w:proofErr w:type="spellEnd"/>
      <w:r>
        <w:rPr>
          <w:rFonts w:ascii="Times New Roman" w:hAnsi="Times New Roman"/>
          <w:sz w:val="24"/>
          <w:szCs w:val="24"/>
        </w:rPr>
        <w:t xml:space="preserve"> III, </w:t>
      </w:r>
      <w:proofErr w:type="spellStart"/>
      <w:r w:rsidRPr="00C742B3">
        <w:rPr>
          <w:rFonts w:ascii="Times New Roman" w:hAnsi="Times New Roman"/>
          <w:sz w:val="24"/>
          <w:szCs w:val="24"/>
        </w:rPr>
        <w:t>shpall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B3">
        <w:rPr>
          <w:rFonts w:ascii="Times New Roman" w:hAnsi="Times New Roman"/>
          <w:sz w:val="24"/>
          <w:szCs w:val="24"/>
        </w:rPr>
        <w:t>për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B3">
        <w:rPr>
          <w:rFonts w:ascii="Times New Roman" w:hAnsi="Times New Roman"/>
          <w:sz w:val="24"/>
          <w:szCs w:val="24"/>
        </w:rPr>
        <w:t>shitje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742B3">
        <w:rPr>
          <w:rFonts w:ascii="Times New Roman" w:hAnsi="Times New Roman"/>
          <w:sz w:val="24"/>
          <w:szCs w:val="24"/>
        </w:rPr>
        <w:t>vam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C742B3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ulur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B3">
        <w:rPr>
          <w:rFonts w:ascii="Times New Roman" w:hAnsi="Times New Roman"/>
          <w:sz w:val="24"/>
          <w:szCs w:val="24"/>
        </w:rPr>
        <w:t>si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B3">
        <w:rPr>
          <w:rFonts w:ascii="Times New Roman" w:hAnsi="Times New Roman"/>
          <w:sz w:val="24"/>
          <w:szCs w:val="24"/>
        </w:rPr>
        <w:t>më</w:t>
      </w:r>
      <w:proofErr w:type="spellEnd"/>
      <w:r w:rsidRPr="00C742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2B3"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7E86734" w14:textId="77777777" w:rsidR="00227485" w:rsidRPr="00BE51D2" w:rsidRDefault="00227485" w:rsidP="00227485">
      <w:pPr>
        <w:rPr>
          <w:sz w:val="24"/>
          <w:szCs w:val="24"/>
        </w:rPr>
      </w:pPr>
    </w:p>
    <w:p w14:paraId="39CC2323" w14:textId="77777777" w:rsidR="00227485" w:rsidRPr="00A02C06" w:rsidRDefault="00227485" w:rsidP="00227485">
      <w:pPr>
        <w:pStyle w:val="ListParagraph"/>
        <w:numPr>
          <w:ilvl w:val="0"/>
          <w:numId w:val="2"/>
        </w:numPr>
        <w:tabs>
          <w:tab w:val="left" w:pos="0"/>
        </w:tabs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administrim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Institutit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Përgatitjes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së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Qenëve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Policisë</w:t>
      </w:r>
      <w:proofErr w:type="spellEnd"/>
      <w:r w:rsidRPr="0079396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93961">
        <w:rPr>
          <w:rFonts w:ascii="Times New Roman" w:hAnsi="Times New Roman"/>
          <w:b/>
          <w:bCs/>
          <w:sz w:val="24"/>
          <w:szCs w:val="24"/>
        </w:rPr>
        <w:t>Tiranë</w:t>
      </w:r>
      <w:proofErr w:type="spellEnd"/>
    </w:p>
    <w:p w14:paraId="676CC91C" w14:textId="77777777" w:rsidR="00227485" w:rsidRPr="00A02C06" w:rsidRDefault="00227485" w:rsidP="00227485">
      <w:pPr>
        <w:pStyle w:val="NoSpacing"/>
        <w:rPr>
          <w:sz w:val="12"/>
          <w:szCs w:val="12"/>
        </w:rPr>
      </w:pPr>
    </w:p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496"/>
        <w:gridCol w:w="1519"/>
        <w:gridCol w:w="1424"/>
        <w:gridCol w:w="1617"/>
        <w:gridCol w:w="1854"/>
        <w:gridCol w:w="1296"/>
        <w:gridCol w:w="990"/>
        <w:gridCol w:w="964"/>
      </w:tblGrid>
      <w:tr w:rsidR="00227485" w:rsidRPr="00D83EB0" w14:paraId="044FE90F" w14:textId="77777777" w:rsidTr="00EF6AFE">
        <w:trPr>
          <w:trHeight w:val="420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6C1761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4C9C6C4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Emërtimi</w:t>
            </w:r>
            <w:proofErr w:type="spellEnd"/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DB47EF" w14:textId="77777777" w:rsidR="00227485" w:rsidRPr="00D83EB0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638A0C" w14:textId="77777777" w:rsidR="00227485" w:rsidRPr="00D83EB0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Datë</w:t>
            </w:r>
            <w:r w:rsidRPr="00D83EB0">
              <w:rPr>
                <w:rFonts w:ascii="Times New Roman" w:hAnsi="Times New Roman"/>
                <w:b/>
                <w:sz w:val="24"/>
                <w:szCs w:val="24"/>
              </w:rPr>
              <w:t>lindja</w:t>
            </w:r>
            <w:proofErr w:type="spellEnd"/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3A954" w14:textId="77777777" w:rsidR="00227485" w:rsidRPr="00FA0248" w:rsidRDefault="00227485" w:rsidP="00EF6A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Vendndodhja</w:t>
            </w:r>
            <w:proofErr w:type="spellEnd"/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3D37C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 xml:space="preserve">Vlera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fillestare</w:t>
            </w:r>
            <w:proofErr w:type="spellEnd"/>
          </w:p>
        </w:tc>
        <w:tc>
          <w:tcPr>
            <w:tcW w:w="3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4F8F7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Zhvillimi</w:t>
            </w:r>
            <w:proofErr w:type="spellEnd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ankandit</w:t>
            </w:r>
            <w:proofErr w:type="spellEnd"/>
          </w:p>
        </w:tc>
      </w:tr>
      <w:tr w:rsidR="00227485" w:rsidRPr="00D83EB0" w14:paraId="1B5B8993" w14:textId="77777777" w:rsidTr="00EF6AFE">
        <w:trPr>
          <w:trHeight w:val="60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ACA950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E812C4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24C596" w14:textId="77777777" w:rsidR="00227485" w:rsidRPr="00D83EB0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D0A46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3FDFCB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ankandit</w:t>
            </w:r>
            <w:proofErr w:type="spellEnd"/>
            <w:r w:rsidRPr="00D83E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949B6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923A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Ora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F7D02" w14:textId="77777777" w:rsidR="00227485" w:rsidRPr="00FA0248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0248">
              <w:rPr>
                <w:rFonts w:ascii="Times New Roman" w:hAnsi="Times New Roman"/>
                <w:b/>
                <w:sz w:val="24"/>
                <w:szCs w:val="24"/>
              </w:rPr>
              <w:t>Vendi</w:t>
            </w:r>
          </w:p>
        </w:tc>
      </w:tr>
      <w:tr w:rsidR="00227485" w:rsidRPr="00E26BC2" w14:paraId="150E9D15" w14:textId="77777777" w:rsidTr="00EF6AFE">
        <w:trPr>
          <w:trHeight w:val="417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89B2" w14:textId="77777777" w:rsidR="00227485" w:rsidRPr="00B8266D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43B77" w14:textId="77777777" w:rsidR="00227485" w:rsidRPr="00B8266D" w:rsidRDefault="00227485" w:rsidP="00EF6A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>Qeni</w:t>
            </w:r>
            <w:proofErr w:type="spellEnd"/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Aksi</w:t>
            </w:r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135" w14:textId="77777777" w:rsidR="00227485" w:rsidRDefault="00227485" w:rsidP="00EF6A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348D8F" w14:textId="77777777" w:rsidR="00227485" w:rsidRPr="00B8266D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16.06.2021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71CE" w14:textId="77777777" w:rsidR="00227485" w:rsidRPr="00B8266D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>Tiranë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0EB" w14:textId="77777777" w:rsidR="00227485" w:rsidRPr="00B8266D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  <w:r w:rsidRPr="00B8266D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1358" w14:textId="0B04450D" w:rsidR="00227485" w:rsidRPr="005063B9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E6FE" w14:textId="77777777" w:rsidR="00227485" w:rsidRPr="005063B9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77D0" w14:textId="77777777" w:rsidR="00227485" w:rsidRDefault="00227485" w:rsidP="00EF6A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EA42B9" w14:textId="754DFE17" w:rsidR="00227485" w:rsidRPr="00B8266D" w:rsidRDefault="00227485" w:rsidP="00EF6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AB">
              <w:rPr>
                <w:rFonts w:ascii="Times New Roman" w:hAnsi="Times New Roman"/>
                <w:color w:val="000000"/>
                <w:sz w:val="24"/>
                <w:szCs w:val="24"/>
              </w:rPr>
              <w:t>DSH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</w:tr>
    </w:tbl>
    <w:p w14:paraId="6CACFB6E" w14:textId="77777777" w:rsidR="00227485" w:rsidRPr="00A02C06" w:rsidRDefault="00227485" w:rsidP="00227485"/>
    <w:p w14:paraId="43368BC5" w14:textId="77777777" w:rsidR="00227485" w:rsidRDefault="00227485" w:rsidP="0022748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6E7395">
        <w:rPr>
          <w:rFonts w:ascii="Times New Roman" w:hAnsi="Times New Roman"/>
          <w:sz w:val="24"/>
          <w:szCs w:val="24"/>
        </w:rPr>
        <w:t>Çdo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person </w:t>
      </w:r>
      <w:proofErr w:type="spellStart"/>
      <w:r w:rsidRPr="006E7395">
        <w:rPr>
          <w:rFonts w:ascii="Times New Roman" w:hAnsi="Times New Roman"/>
          <w:sz w:val="24"/>
          <w:szCs w:val="24"/>
        </w:rPr>
        <w:t>fizik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E7395">
        <w:rPr>
          <w:rFonts w:ascii="Times New Roman" w:hAnsi="Times New Roman"/>
          <w:sz w:val="24"/>
          <w:szCs w:val="24"/>
        </w:rPr>
        <w:t>juridik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i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interesuar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për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blerje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duhet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të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paraqesë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në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vendin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7395">
        <w:rPr>
          <w:rFonts w:ascii="Times New Roman" w:hAnsi="Times New Roman"/>
          <w:sz w:val="24"/>
          <w:szCs w:val="24"/>
        </w:rPr>
        <w:t>datën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dhe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orën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E7395">
        <w:rPr>
          <w:rFonts w:ascii="Times New Roman" w:hAnsi="Times New Roman"/>
          <w:sz w:val="24"/>
          <w:szCs w:val="24"/>
        </w:rPr>
        <w:t>njoftuar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pranë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komisionit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të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ankandit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si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më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poshtë</w:t>
      </w:r>
      <w:proofErr w:type="spellEnd"/>
      <w:r w:rsidRPr="006E7395">
        <w:rPr>
          <w:rFonts w:ascii="Times New Roman" w:hAnsi="Times New Roman"/>
          <w:sz w:val="24"/>
          <w:szCs w:val="24"/>
        </w:rPr>
        <w:t>:</w:t>
      </w:r>
    </w:p>
    <w:p w14:paraId="1E9CD21F" w14:textId="77777777" w:rsidR="00227485" w:rsidRPr="00BE51D2" w:rsidRDefault="00227485" w:rsidP="00227485">
      <w:pPr>
        <w:pStyle w:val="NoSpacing"/>
        <w:rPr>
          <w:sz w:val="24"/>
          <w:szCs w:val="24"/>
        </w:rPr>
      </w:pPr>
    </w:p>
    <w:p w14:paraId="0135A2AB" w14:textId="77777777" w:rsidR="00227485" w:rsidRPr="00DB08E9" w:rsidRDefault="00227485" w:rsidP="002274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B08E9">
        <w:rPr>
          <w:rFonts w:ascii="Times New Roman" w:hAnsi="Times New Roman"/>
          <w:b/>
          <w:sz w:val="24"/>
          <w:szCs w:val="24"/>
        </w:rPr>
        <w:t>Kërkesë</w:t>
      </w:r>
      <w:proofErr w:type="spellEnd"/>
      <w:r w:rsidRPr="00DB08E9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DB08E9">
        <w:rPr>
          <w:rFonts w:ascii="Times New Roman" w:hAnsi="Times New Roman"/>
          <w:b/>
          <w:sz w:val="24"/>
          <w:szCs w:val="24"/>
        </w:rPr>
        <w:t>shkrim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blerje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B08E9">
        <w:rPr>
          <w:rFonts w:ascii="Times New Roman" w:hAnsi="Times New Roman"/>
          <w:sz w:val="24"/>
          <w:szCs w:val="24"/>
        </w:rPr>
        <w:t>regjistruar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pranë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protokollit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Ministrisë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Financave</w:t>
      </w:r>
      <w:proofErr w:type="spellEnd"/>
      <w:r w:rsidRPr="00DB08E9">
        <w:rPr>
          <w:rFonts w:ascii="Times New Roman" w:hAnsi="Times New Roman"/>
          <w:sz w:val="24"/>
          <w:szCs w:val="24"/>
        </w:rPr>
        <w:t>.</w:t>
      </w:r>
    </w:p>
    <w:p w14:paraId="01AE1E77" w14:textId="77777777" w:rsidR="00227485" w:rsidRPr="006445FD" w:rsidRDefault="00227485" w:rsidP="0022748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DB08E9">
        <w:rPr>
          <w:rFonts w:ascii="Times New Roman" w:hAnsi="Times New Roman"/>
          <w:b/>
          <w:sz w:val="24"/>
          <w:szCs w:val="24"/>
        </w:rPr>
        <w:t>Garancinë</w:t>
      </w:r>
      <w:proofErr w:type="spellEnd"/>
      <w:r w:rsidRPr="00DB08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b/>
          <w:sz w:val="24"/>
          <w:szCs w:val="24"/>
        </w:rPr>
        <w:t>bankare</w:t>
      </w:r>
      <w:proofErr w:type="spellEnd"/>
      <w:r w:rsidRPr="00DB08E9">
        <w:rPr>
          <w:rFonts w:ascii="Times New Roman" w:hAnsi="Times New Roman"/>
          <w:b/>
          <w:sz w:val="24"/>
          <w:szCs w:val="24"/>
        </w:rPr>
        <w:t xml:space="preserve"> apo </w:t>
      </w:r>
      <w:proofErr w:type="spellStart"/>
      <w:r w:rsidRPr="00DB08E9">
        <w:rPr>
          <w:rFonts w:ascii="Times New Roman" w:hAnsi="Times New Roman"/>
          <w:b/>
          <w:sz w:val="24"/>
          <w:szCs w:val="24"/>
        </w:rPr>
        <w:t>mandat</w:t>
      </w:r>
      <w:proofErr w:type="spellEnd"/>
      <w:r w:rsidRPr="00DB08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b/>
          <w:sz w:val="24"/>
          <w:szCs w:val="24"/>
        </w:rPr>
        <w:t>pagesën</w:t>
      </w:r>
      <w:proofErr w:type="spellEnd"/>
      <w:r w:rsidRPr="00DB08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origjinal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që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vërteton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ngurtësimin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e 20 %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vlerës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fillimit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ankandit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lekë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llogari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Ministrisë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Financave</w:t>
      </w:r>
      <w:proofErr w:type="spellEnd"/>
      <w:r w:rsidRPr="00DB08E9">
        <w:rPr>
          <w:rFonts w:ascii="Times New Roman" w:hAnsi="Times New Roman"/>
          <w:sz w:val="24"/>
          <w:szCs w:val="24"/>
        </w:rPr>
        <w:t>.</w:t>
      </w:r>
    </w:p>
    <w:p w14:paraId="0FD37262" w14:textId="77777777" w:rsidR="00227485" w:rsidRPr="006E7395" w:rsidRDefault="00227485" w:rsidP="00227485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E7395">
        <w:rPr>
          <w:rFonts w:ascii="Times New Roman" w:hAnsi="Times New Roman"/>
          <w:b/>
          <w:sz w:val="24"/>
          <w:szCs w:val="24"/>
        </w:rPr>
        <w:t>Dokument</w:t>
      </w:r>
      <w:proofErr w:type="spellEnd"/>
      <w:r w:rsidRPr="006E73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b/>
          <w:sz w:val="24"/>
          <w:szCs w:val="24"/>
        </w:rPr>
        <w:t>identifikimi</w:t>
      </w:r>
      <w:proofErr w:type="spellEnd"/>
      <w:r w:rsidRPr="006E7395">
        <w:rPr>
          <w:rFonts w:ascii="Times New Roman" w:hAnsi="Times New Roman"/>
          <w:b/>
          <w:sz w:val="24"/>
          <w:szCs w:val="24"/>
        </w:rPr>
        <w:t xml:space="preserve"> </w:t>
      </w:r>
      <w:r w:rsidRPr="006E7395">
        <w:rPr>
          <w:rFonts w:ascii="Times New Roman" w:hAnsi="Times New Roman"/>
          <w:sz w:val="24"/>
          <w:szCs w:val="24"/>
        </w:rPr>
        <w:t>(</w:t>
      </w:r>
      <w:proofErr w:type="spellStart"/>
      <w:r w:rsidRPr="006E7395">
        <w:rPr>
          <w:rFonts w:ascii="Times New Roman" w:hAnsi="Times New Roman"/>
          <w:sz w:val="24"/>
          <w:szCs w:val="24"/>
        </w:rPr>
        <w:t>pasaportë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biometrike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ose</w:t>
      </w:r>
      <w:proofErr w:type="spellEnd"/>
      <w:r w:rsidRPr="006E73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395">
        <w:rPr>
          <w:rFonts w:ascii="Times New Roman" w:hAnsi="Times New Roman"/>
          <w:sz w:val="24"/>
          <w:szCs w:val="24"/>
        </w:rPr>
        <w:t>letërnjoftim</w:t>
      </w:r>
      <w:proofErr w:type="spellEnd"/>
      <w:r w:rsidRPr="006E7395">
        <w:rPr>
          <w:rFonts w:ascii="Times New Roman" w:hAnsi="Times New Roman"/>
          <w:sz w:val="24"/>
          <w:szCs w:val="24"/>
        </w:rPr>
        <w:t>).</w:t>
      </w:r>
    </w:p>
    <w:p w14:paraId="3DD7CC97" w14:textId="77777777" w:rsidR="00227485" w:rsidRPr="00BE51D2" w:rsidRDefault="00227485" w:rsidP="00227485">
      <w:pPr>
        <w:rPr>
          <w:sz w:val="32"/>
          <w:szCs w:val="32"/>
        </w:rPr>
      </w:pPr>
      <w:r w:rsidRPr="007C50C8">
        <w:t xml:space="preserve">             </w:t>
      </w:r>
    </w:p>
    <w:p w14:paraId="1AD083C7" w14:textId="77777777" w:rsidR="00227485" w:rsidRPr="00DB08E9" w:rsidRDefault="00227485" w:rsidP="0022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08E9">
        <w:rPr>
          <w:rFonts w:ascii="Times New Roman" w:hAnsi="Times New Roman"/>
          <w:b/>
          <w:sz w:val="24"/>
          <w:szCs w:val="24"/>
        </w:rPr>
        <w:t>Sh</w:t>
      </w:r>
      <w:r>
        <w:rPr>
          <w:rFonts w:ascii="Times New Roman" w:hAnsi="Times New Roman"/>
          <w:b/>
          <w:sz w:val="24"/>
          <w:szCs w:val="24"/>
        </w:rPr>
        <w:t>ë</w:t>
      </w:r>
      <w:r w:rsidRPr="00DB08E9">
        <w:rPr>
          <w:rFonts w:ascii="Times New Roman" w:hAnsi="Times New Roman"/>
          <w:b/>
          <w:sz w:val="24"/>
          <w:szCs w:val="24"/>
        </w:rPr>
        <w:t>nim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B08E9">
        <w:rPr>
          <w:rFonts w:ascii="Times New Roman" w:hAnsi="Times New Roman"/>
          <w:sz w:val="24"/>
          <w:szCs w:val="24"/>
        </w:rPr>
        <w:t>Pjesëmarrësit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ankand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08E9">
        <w:rPr>
          <w:rFonts w:ascii="Times New Roman" w:hAnsi="Times New Roman"/>
          <w:sz w:val="24"/>
          <w:szCs w:val="24"/>
        </w:rPr>
        <w:t>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cili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tërhiqet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nga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ankandi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Pr="00DB08E9">
        <w:rPr>
          <w:rFonts w:ascii="Times New Roman" w:hAnsi="Times New Roman"/>
          <w:sz w:val="24"/>
          <w:szCs w:val="24"/>
        </w:rPr>
        <w:t>dhënë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asnjë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ofertë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vlerën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shpallur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shitje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B08E9">
        <w:rPr>
          <w:rFonts w:ascii="Times New Roman" w:hAnsi="Times New Roman"/>
          <w:sz w:val="24"/>
          <w:szCs w:val="24"/>
        </w:rPr>
        <w:t>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konfiskohet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20 % e </w:t>
      </w:r>
      <w:proofErr w:type="spellStart"/>
      <w:r w:rsidRPr="00DB08E9">
        <w:rPr>
          <w:rFonts w:ascii="Times New Roman" w:hAnsi="Times New Roman"/>
          <w:sz w:val="24"/>
          <w:szCs w:val="24"/>
        </w:rPr>
        <w:t>garancisë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bankare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DB08E9">
        <w:rPr>
          <w:rFonts w:ascii="Times New Roman" w:hAnsi="Times New Roman"/>
          <w:sz w:val="24"/>
          <w:szCs w:val="24"/>
        </w:rPr>
        <w:t>ngurtësuar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pjesëmarrje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ankand</w:t>
      </w:r>
      <w:proofErr w:type="spellEnd"/>
      <w:r w:rsidRPr="00DB08E9">
        <w:rPr>
          <w:rFonts w:ascii="Times New Roman" w:hAnsi="Times New Roman"/>
          <w:sz w:val="24"/>
          <w:szCs w:val="24"/>
        </w:rPr>
        <w:t>.</w:t>
      </w:r>
    </w:p>
    <w:p w14:paraId="4C5C2D07" w14:textId="62BF9456" w:rsidR="00227485" w:rsidRDefault="00227485" w:rsidP="00227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08E9">
        <w:rPr>
          <w:rFonts w:ascii="Times New Roman" w:hAnsi="Times New Roman"/>
          <w:sz w:val="24"/>
          <w:szCs w:val="24"/>
        </w:rPr>
        <w:t>Garancia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bankare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B08E9">
        <w:rPr>
          <w:rFonts w:ascii="Times New Roman" w:hAnsi="Times New Roman"/>
          <w:sz w:val="24"/>
          <w:szCs w:val="24"/>
        </w:rPr>
        <w:t>mandat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pagesa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duhet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bëhet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detyrimisht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brenda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afatit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pranimit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kërke</w:t>
      </w:r>
      <w:r>
        <w:rPr>
          <w:rFonts w:ascii="Times New Roman" w:hAnsi="Times New Roman"/>
          <w:sz w:val="24"/>
          <w:szCs w:val="24"/>
        </w:rPr>
        <w:t>save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ankand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B08E9">
        <w:rPr>
          <w:rFonts w:ascii="Times New Roman" w:hAnsi="Times New Roman"/>
          <w:sz w:val="24"/>
          <w:szCs w:val="24"/>
        </w:rPr>
        <w:t>Garancia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bankare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B08E9">
        <w:rPr>
          <w:rFonts w:ascii="Times New Roman" w:hAnsi="Times New Roman"/>
          <w:sz w:val="24"/>
          <w:szCs w:val="24"/>
        </w:rPr>
        <w:t>mandat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pagesa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mund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bëhen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pranë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çdo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banke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nivelit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dytë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llogaritë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respektive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hapura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Ministrinë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B08E9">
        <w:rPr>
          <w:rFonts w:ascii="Times New Roman" w:hAnsi="Times New Roman"/>
          <w:sz w:val="24"/>
          <w:szCs w:val="24"/>
        </w:rPr>
        <w:t>Financave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pasi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keni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tërhequr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pranë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08E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.SH</w:t>
      </w:r>
      <w:r>
        <w:rPr>
          <w:rFonts w:ascii="Times New Roman" w:hAnsi="Times New Roman"/>
          <w:sz w:val="24"/>
          <w:szCs w:val="24"/>
        </w:rPr>
        <w:t>.P.P</w:t>
      </w:r>
      <w:proofErr w:type="gram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ose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degëve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thesarit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rrethe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faturën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arkëtim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plotësuar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dhe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nënshkruar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nga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përfaqësuesi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i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institucionit</w:t>
      </w:r>
      <w:proofErr w:type="spellEnd"/>
      <w:r w:rsidRPr="00DB08E9">
        <w:rPr>
          <w:rFonts w:ascii="Times New Roman" w:hAnsi="Times New Roman"/>
          <w:sz w:val="24"/>
          <w:szCs w:val="24"/>
        </w:rPr>
        <w:t>.</w:t>
      </w:r>
    </w:p>
    <w:p w14:paraId="0738472E" w14:textId="77777777" w:rsidR="00227485" w:rsidRDefault="00227485" w:rsidP="00227485">
      <w:pPr>
        <w:spacing w:after="0" w:line="240" w:lineRule="auto"/>
      </w:pPr>
      <w:proofErr w:type="spellStart"/>
      <w:r w:rsidRPr="00DB08E9">
        <w:rPr>
          <w:rFonts w:ascii="Times New Roman" w:hAnsi="Times New Roman"/>
          <w:sz w:val="24"/>
          <w:szCs w:val="24"/>
        </w:rPr>
        <w:t>Këto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informacione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gjenden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edhe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në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faqen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DB08E9">
        <w:rPr>
          <w:rFonts w:ascii="Times New Roman" w:hAnsi="Times New Roman"/>
          <w:sz w:val="24"/>
          <w:szCs w:val="24"/>
        </w:rPr>
        <w:t>internetit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të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Ministrisë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së</w:t>
      </w:r>
      <w:proofErr w:type="spellEnd"/>
      <w:r w:rsidRPr="00DB08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8E9">
        <w:rPr>
          <w:rFonts w:ascii="Times New Roman" w:hAnsi="Times New Roman"/>
          <w:sz w:val="24"/>
          <w:szCs w:val="24"/>
        </w:rPr>
        <w:t>Financave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DB08E9">
          <w:rPr>
            <w:rStyle w:val="Hyperlink"/>
            <w:rFonts w:ascii="Times New Roman" w:hAnsi="Times New Roman"/>
            <w:sz w:val="24"/>
            <w:szCs w:val="24"/>
          </w:rPr>
          <w:t>www.financa.gov.al</w:t>
        </w:r>
      </w:hyperlink>
    </w:p>
    <w:p w14:paraId="150F56D4" w14:textId="77777777" w:rsidR="00227485" w:rsidRDefault="00227485" w:rsidP="00227485">
      <w:pPr>
        <w:jc w:val="both"/>
      </w:pPr>
    </w:p>
    <w:p w14:paraId="60BE132C" w14:textId="77777777" w:rsidR="00F661D3" w:rsidRDefault="00F661D3"/>
    <w:sectPr w:rsidR="00F661D3" w:rsidSect="00645A04">
      <w:footerReference w:type="default" r:id="rId7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FA15" w14:textId="77777777" w:rsidR="00000000" w:rsidRPr="00870D3B" w:rsidRDefault="00000000" w:rsidP="0023514A">
    <w:pPr>
      <w:pStyle w:val="Footer"/>
      <w:jc w:val="center"/>
      <w:rPr>
        <w:sz w:val="20"/>
        <w:szCs w:val="20"/>
      </w:rPr>
    </w:pPr>
    <w:r>
      <w:rPr>
        <w:noProof/>
        <w:lang w:val="sq-AL" w:eastAsia="sq-A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B4AC08" wp14:editId="403888F8">
              <wp:simplePos x="0" y="0"/>
              <wp:positionH relativeFrom="column">
                <wp:posOffset>-3810</wp:posOffset>
              </wp:positionH>
              <wp:positionV relativeFrom="paragraph">
                <wp:posOffset>-92076</wp:posOffset>
              </wp:positionV>
              <wp:extent cx="55245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30B0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7.25pt" to="434.7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3tvwEAAHYDAAAOAAAAZHJzL2Uyb0RvYy54bWysU01v2zAMvQ/YfxB0X+wGy9AZcXpo0F2K&#10;rUC7H8DKki1MEgVRi5N/P0r5WLrdhvkgUKL4+Pj0vL7beyd2OpHF0MubRSuFDgoHG8Zefn95+HAr&#10;BWUIAzgMupcHTfJu8/7deo6dXuKEbtBJMEigbo69nHKOXdOQmrQHWmDUgZMGk4fM2zQ2Q4KZ0b1r&#10;lm37qZkxDTGh0kR8uj0m5abiG6NV/mYM6SxcL5lbrmuq62tZm80aujFBnKw60YB/YOHBBm56gdpC&#10;BvEz2b+gvFUJCU1eKPQNGmOVrjPwNDftH9M8TxB1nYXFoXiRif4frPq6uw9PqVBX+/AcH1H9IBal&#10;mSN1l2TZUDxe25vky3XmLvZVyMNFSL3PQvHharX8uGpZb3XONdCdC2Oi/EWjFyXopbOhzAgd7B4p&#10;l9bQna+U44AP1rn6Ti6ImU32uV0VaGC7GAeZQx+HXlIYpQA3sg9VThWS0NmhlBcgOtC9S2IHbAV2&#10;0IDzC/OVwgFlTvAQ9SuWYApvSgufLdB0LK6po3O8zWxfZ30vb6+rXSgddTXgaarfGpboFYfDUzoL&#10;zY9bm56MWNxzvef4+nfZ/AIAAP//AwBQSwMEFAAGAAgAAAAhAA2VszHeAAAACQEAAA8AAABkcnMv&#10;ZG93bnJldi54bWxMj0FLw0AQhe+C/2EZwVu7qcTQptmUViiCB8Gq4HGTnSbR7GzIbtLUX+8UBD0N&#10;M+/Nm2+yzWRbMWLvG0cKFvMIBFLpTEOVgrfX/WwJwgdNRreOUMEZPWzy66tMp8ad6AXHQ6gEh5BP&#10;tYI6hC6V0pc1Wu3nrkNi7eh6qwO3fSVNr08cblt5F0WJtLohvlDrDh9qLL8Og2UM+71/bHar6Vl+&#10;4lMyvscfQxErdXszbdcgAk7hzwwXfN6BnJkKN5DxolUwS9jIZRHfg2B9maxiEMXvROaZ/P9B/gMA&#10;AP//AwBQSwECLQAUAAYACAAAACEAtoM4kv4AAADhAQAAEwAAAAAAAAAAAAAAAAAAAAAAW0NvbnRl&#10;bnRfVHlwZXNdLnhtbFBLAQItABQABgAIAAAAIQA4/SH/1gAAAJQBAAALAAAAAAAAAAAAAAAAAC8B&#10;AABfcmVscy8ucmVsc1BLAQItABQABgAIAAAAIQDx7V3tvwEAAHYDAAAOAAAAAAAAAAAAAAAAAC4C&#10;AABkcnMvZTJvRG9jLnhtbFBLAQItABQABgAIAAAAIQANlbMx3gAAAAkBAAAPAAAAAAAAAAAAAAAA&#10;ABk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  <w:proofErr w:type="spellStart"/>
    <w:r w:rsidRPr="009C659C">
      <w:rPr>
        <w:sz w:val="20"/>
        <w:szCs w:val="20"/>
      </w:rPr>
      <w:t>Bulevardi</w:t>
    </w:r>
    <w:proofErr w:type="spellEnd"/>
    <w:r w:rsidRPr="009C659C">
      <w:rPr>
        <w:sz w:val="20"/>
        <w:szCs w:val="20"/>
      </w:rPr>
      <w:t xml:space="preserve"> “</w:t>
    </w:r>
    <w:proofErr w:type="spellStart"/>
    <w:r w:rsidRPr="009C659C">
      <w:rPr>
        <w:sz w:val="20"/>
        <w:szCs w:val="20"/>
      </w:rPr>
      <w:t>Dëshm</w:t>
    </w:r>
    <w:r>
      <w:rPr>
        <w:sz w:val="20"/>
        <w:szCs w:val="20"/>
      </w:rPr>
      <w:t>orët</w:t>
    </w:r>
    <w:proofErr w:type="spellEnd"/>
    <w:r>
      <w:rPr>
        <w:sz w:val="20"/>
        <w:szCs w:val="20"/>
      </w:rPr>
      <w:t xml:space="preserve"> e </w:t>
    </w:r>
    <w:proofErr w:type="spellStart"/>
    <w:r>
      <w:rPr>
        <w:sz w:val="20"/>
        <w:szCs w:val="20"/>
      </w:rPr>
      <w:t>Kombit</w:t>
    </w:r>
    <w:proofErr w:type="spellEnd"/>
    <w:r>
      <w:rPr>
        <w:sz w:val="20"/>
        <w:szCs w:val="20"/>
      </w:rPr>
      <w:t>”, Nr. 3</w:t>
    </w:r>
    <w:proofErr w:type="gramStart"/>
    <w:r>
      <w:rPr>
        <w:sz w:val="20"/>
        <w:szCs w:val="20"/>
      </w:rPr>
      <w:tab/>
      <w:t xml:space="preserve">;  </w:t>
    </w:r>
    <w:proofErr w:type="spellStart"/>
    <w:r>
      <w:rPr>
        <w:sz w:val="20"/>
        <w:szCs w:val="20"/>
      </w:rPr>
      <w:t>Tiranë</w:t>
    </w:r>
    <w:proofErr w:type="spellEnd"/>
    <w:proofErr w:type="gramEnd"/>
    <w:r>
      <w:rPr>
        <w:sz w:val="20"/>
        <w:szCs w:val="20"/>
      </w:rPr>
      <w:t xml:space="preserve">, Albania; </w:t>
    </w:r>
    <w:hyperlink r:id="rId1" w:history="1">
      <w:r w:rsidRPr="006D579B">
        <w:rPr>
          <w:rStyle w:val="Hyperlink"/>
          <w:sz w:val="20"/>
          <w:szCs w:val="20"/>
        </w:rPr>
        <w:t>www.financa.gov.al</w:t>
      </w:r>
    </w:hyperlink>
    <w:r>
      <w:rPr>
        <w:sz w:val="20"/>
        <w:szCs w:val="20"/>
        <w:u w:val="single"/>
      </w:rPr>
      <w:t>;</w:t>
    </w:r>
    <w:r>
      <w:rPr>
        <w:sz w:val="20"/>
        <w:szCs w:val="20"/>
      </w:rPr>
      <w:t xml:space="preserve"> </w:t>
    </w:r>
    <w:r>
      <w:rPr>
        <w:sz w:val="20"/>
        <w:szCs w:val="20"/>
        <w:u w:val="single"/>
      </w:rPr>
      <w:t>info@financa.gov.al</w:t>
    </w:r>
  </w:p>
  <w:p w14:paraId="3B21C900" w14:textId="77777777" w:rsidR="00000000" w:rsidRDefault="00000000">
    <w:pPr>
      <w:pStyle w:val="Footer"/>
    </w:pPr>
  </w:p>
  <w:p w14:paraId="1A28E8E2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2749"/>
    <w:multiLevelType w:val="hybridMultilevel"/>
    <w:tmpl w:val="D6E6E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38AA"/>
    <w:multiLevelType w:val="hybridMultilevel"/>
    <w:tmpl w:val="BF20B306"/>
    <w:lvl w:ilvl="0" w:tplc="0964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725811">
    <w:abstractNumId w:val="0"/>
  </w:num>
  <w:num w:numId="2" w16cid:durableId="109597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85"/>
    <w:rsid w:val="00227485"/>
    <w:rsid w:val="00645A04"/>
    <w:rsid w:val="00790EDC"/>
    <w:rsid w:val="00853D83"/>
    <w:rsid w:val="00C765F9"/>
    <w:rsid w:val="00F6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B345"/>
  <w15:chartTrackingRefBased/>
  <w15:docId w15:val="{E963F988-7748-41F5-A6C8-A3C286C7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4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4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4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4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4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4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4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4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4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22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7485"/>
    <w:rPr>
      <w:kern w:val="0"/>
      <w14:ligatures w14:val="none"/>
    </w:rPr>
  </w:style>
  <w:style w:type="character" w:styleId="Hyperlink">
    <w:name w:val="Hyperlink"/>
    <w:uiPriority w:val="99"/>
    <w:unhideWhenUsed/>
    <w:rsid w:val="00227485"/>
    <w:rPr>
      <w:color w:val="0000FF"/>
      <w:u w:val="single"/>
    </w:rPr>
  </w:style>
  <w:style w:type="paragraph" w:styleId="NoSpacing">
    <w:name w:val="No Spacing"/>
    <w:uiPriority w:val="1"/>
    <w:qFormat/>
    <w:rsid w:val="00227485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a.gov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 Karagjozi</dc:creator>
  <cp:keywords/>
  <dc:description/>
  <cp:lastModifiedBy>Silvi Karagjozi</cp:lastModifiedBy>
  <cp:revision>1</cp:revision>
  <dcterms:created xsi:type="dcterms:W3CDTF">2024-04-22T10:16:00Z</dcterms:created>
  <dcterms:modified xsi:type="dcterms:W3CDTF">2024-04-22T10:19:00Z</dcterms:modified>
</cp:coreProperties>
</file>