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7A" w:rsidRPr="0081405B" w:rsidRDefault="00A1237A" w:rsidP="00A1237A">
      <w:pPr>
        <w:spacing w:after="0" w:line="240" w:lineRule="auto"/>
        <w:jc w:val="center"/>
        <w:rPr>
          <w:rFonts w:ascii="Times New Roman" w:eastAsia="Times New Roman" w:hAnsi="Times New Roman" w:cs="Times New Roman"/>
          <w:b/>
          <w:bCs/>
          <w:sz w:val="24"/>
          <w:szCs w:val="24"/>
        </w:rPr>
      </w:pPr>
      <w:r w:rsidRPr="0081405B">
        <w:rPr>
          <w:rFonts w:ascii="Times New Roman" w:eastAsia="Times New Roman" w:hAnsi="Times New Roman" w:cs="Times New Roman"/>
          <w:b/>
          <w:bCs/>
          <w:sz w:val="24"/>
          <w:szCs w:val="24"/>
        </w:rPr>
        <w:t>REPUBLIKA E SHQIPËRISË</w:t>
      </w:r>
    </w:p>
    <w:p w:rsidR="00E77755" w:rsidRPr="00E77755" w:rsidRDefault="00A1237A" w:rsidP="0052203F">
      <w:pPr>
        <w:spacing w:after="0" w:line="240" w:lineRule="auto"/>
        <w:jc w:val="center"/>
        <w:rPr>
          <w:rFonts w:ascii="Times New Roman" w:eastAsia="Times New Roman" w:hAnsi="Times New Roman" w:cs="Times New Roman"/>
          <w:b/>
          <w:bCs/>
          <w:color w:val="000000" w:themeColor="text1"/>
          <w:sz w:val="24"/>
          <w:szCs w:val="24"/>
        </w:rPr>
      </w:pPr>
      <w:r w:rsidRPr="0081405B">
        <w:rPr>
          <w:rFonts w:ascii="Times New Roman" w:eastAsia="Calibri" w:hAnsi="Times New Roman" w:cs="Times New Roman"/>
          <w:b/>
          <w:bCs/>
          <w:sz w:val="24"/>
          <w:szCs w:val="24"/>
        </w:rPr>
        <w:t>KUVENDI</w:t>
      </w:r>
    </w:p>
    <w:p w:rsidR="00AE5B81" w:rsidRPr="00E77755" w:rsidRDefault="00AE5B81" w:rsidP="0052203F">
      <w:pPr>
        <w:spacing w:after="0" w:line="240" w:lineRule="auto"/>
        <w:jc w:val="center"/>
        <w:rPr>
          <w:rFonts w:ascii="Times New Roman" w:eastAsia="Times New Roman" w:hAnsi="Times New Roman" w:cs="Times New Roman"/>
          <w:b/>
          <w:bCs/>
          <w:color w:val="000000" w:themeColor="text1"/>
          <w:sz w:val="24"/>
          <w:szCs w:val="24"/>
        </w:rPr>
      </w:pPr>
    </w:p>
    <w:p w:rsidR="00AE5B81" w:rsidRPr="00E77755" w:rsidRDefault="00AE5B81" w:rsidP="0052203F">
      <w:pPr>
        <w:spacing w:after="0" w:line="240" w:lineRule="auto"/>
        <w:jc w:val="center"/>
        <w:rPr>
          <w:rFonts w:ascii="Times New Roman" w:eastAsia="Times New Roman" w:hAnsi="Times New Roman" w:cs="Times New Roman"/>
          <w:b/>
          <w:bCs/>
          <w:color w:val="000000" w:themeColor="text1"/>
          <w:sz w:val="24"/>
          <w:szCs w:val="24"/>
        </w:rPr>
      </w:pPr>
    </w:p>
    <w:p w:rsidR="00167D1D" w:rsidRPr="00E77755" w:rsidRDefault="00167D1D" w:rsidP="0052203F">
      <w:pPr>
        <w:spacing w:after="0" w:line="240" w:lineRule="auto"/>
        <w:rPr>
          <w:rFonts w:ascii="Times New Roman" w:hAnsi="Times New Roman" w:cs="Times New Roman"/>
          <w:b/>
          <w:color w:val="000000" w:themeColor="text1"/>
          <w:sz w:val="24"/>
          <w:szCs w:val="24"/>
        </w:rPr>
      </w:pPr>
    </w:p>
    <w:p w:rsidR="00420682" w:rsidRPr="00E77755" w:rsidRDefault="00420682" w:rsidP="0052203F">
      <w:pPr>
        <w:spacing w:after="0" w:line="240" w:lineRule="auto"/>
        <w:jc w:val="center"/>
        <w:rPr>
          <w:rFonts w:ascii="Times New Roman" w:hAnsi="Times New Roman" w:cs="Times New Roman"/>
          <w:b/>
          <w:color w:val="000000" w:themeColor="text1"/>
          <w:sz w:val="24"/>
          <w:szCs w:val="24"/>
        </w:rPr>
      </w:pPr>
      <w:r w:rsidRPr="00E77755">
        <w:rPr>
          <w:rFonts w:ascii="Times New Roman" w:hAnsi="Times New Roman" w:cs="Times New Roman"/>
          <w:b/>
          <w:color w:val="000000" w:themeColor="text1"/>
          <w:sz w:val="24"/>
          <w:szCs w:val="24"/>
        </w:rPr>
        <w:t>LIGJ</w:t>
      </w:r>
    </w:p>
    <w:p w:rsidR="00420682" w:rsidRPr="00E77755" w:rsidRDefault="00420682" w:rsidP="0052203F">
      <w:pPr>
        <w:spacing w:after="0" w:line="240" w:lineRule="auto"/>
        <w:jc w:val="center"/>
        <w:rPr>
          <w:rFonts w:ascii="Times New Roman" w:hAnsi="Times New Roman" w:cs="Times New Roman"/>
          <w:b/>
          <w:color w:val="000000" w:themeColor="text1"/>
          <w:sz w:val="24"/>
          <w:szCs w:val="24"/>
        </w:rPr>
      </w:pPr>
    </w:p>
    <w:p w:rsidR="00024790" w:rsidRPr="00E77755" w:rsidRDefault="002009A1" w:rsidP="00DD7DEF">
      <w:pPr>
        <w:spacing w:after="0" w:line="240" w:lineRule="auto"/>
        <w:jc w:val="center"/>
        <w:rPr>
          <w:rFonts w:ascii="Times New Roman" w:hAnsi="Times New Roman" w:cs="Times New Roman"/>
          <w:b/>
          <w:color w:val="000000" w:themeColor="text1"/>
          <w:sz w:val="24"/>
          <w:szCs w:val="24"/>
        </w:rPr>
      </w:pPr>
      <w:r w:rsidRPr="00E77755">
        <w:rPr>
          <w:rFonts w:ascii="Times New Roman" w:hAnsi="Times New Roman" w:cs="Times New Roman"/>
          <w:b/>
          <w:color w:val="000000" w:themeColor="text1"/>
          <w:sz w:val="24"/>
          <w:szCs w:val="24"/>
        </w:rPr>
        <w:t>Nr.</w:t>
      </w:r>
      <w:r w:rsidR="00F62A46" w:rsidRPr="00E77755">
        <w:rPr>
          <w:rFonts w:ascii="Times New Roman" w:hAnsi="Times New Roman" w:cs="Times New Roman"/>
          <w:b/>
          <w:color w:val="000000" w:themeColor="text1"/>
          <w:sz w:val="24"/>
          <w:szCs w:val="24"/>
        </w:rPr>
        <w:t xml:space="preserve"> </w:t>
      </w:r>
      <w:r w:rsidR="00FC24EB" w:rsidRPr="00E77755">
        <w:rPr>
          <w:rFonts w:ascii="Times New Roman" w:hAnsi="Times New Roman" w:cs="Times New Roman"/>
          <w:b/>
          <w:color w:val="000000" w:themeColor="text1"/>
          <w:sz w:val="24"/>
          <w:szCs w:val="24"/>
        </w:rPr>
        <w:t>97</w:t>
      </w:r>
      <w:r w:rsidR="007748A2" w:rsidRPr="00E77755">
        <w:rPr>
          <w:rFonts w:ascii="Times New Roman" w:hAnsi="Times New Roman" w:cs="Times New Roman"/>
          <w:b/>
          <w:color w:val="000000" w:themeColor="text1"/>
          <w:sz w:val="24"/>
          <w:szCs w:val="24"/>
        </w:rPr>
        <w:t>/2023</w:t>
      </w:r>
      <w:r w:rsidRPr="00E77755">
        <w:rPr>
          <w:rFonts w:ascii="Times New Roman" w:hAnsi="Times New Roman" w:cs="Times New Roman"/>
          <w:b/>
          <w:color w:val="000000" w:themeColor="text1"/>
          <w:sz w:val="24"/>
          <w:szCs w:val="24"/>
        </w:rPr>
        <w:t xml:space="preserve"> </w:t>
      </w:r>
    </w:p>
    <w:p w:rsidR="0060398D" w:rsidRPr="00E77755" w:rsidRDefault="0060398D" w:rsidP="0060398D">
      <w:pPr>
        <w:spacing w:after="0" w:line="240" w:lineRule="auto"/>
        <w:jc w:val="both"/>
        <w:rPr>
          <w:rFonts w:ascii="Times New Roman" w:hAnsi="Times New Roman" w:cs="Times New Roman"/>
          <w:b/>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b/>
          <w:color w:val="000000" w:themeColor="text1"/>
          <w:sz w:val="24"/>
          <w:szCs w:val="24"/>
        </w:rPr>
      </w:pPr>
      <w:r w:rsidRPr="00E77755">
        <w:rPr>
          <w:rFonts w:ascii="Times New Roman" w:hAnsi="Times New Roman" w:cs="Times New Roman"/>
          <w:b/>
          <w:color w:val="000000" w:themeColor="text1"/>
          <w:sz w:val="24"/>
          <w:szCs w:val="24"/>
        </w:rPr>
        <w:t>PËR BUXHETIN E VITIT 2024</w:t>
      </w:r>
    </w:p>
    <w:p w:rsidR="00E71EE6" w:rsidRPr="00E77755" w:rsidRDefault="00E71EE6" w:rsidP="00E71EE6">
      <w:pPr>
        <w:spacing w:after="0" w:line="240" w:lineRule="auto"/>
        <w:jc w:val="both"/>
        <w:rPr>
          <w:rFonts w:ascii="Times New Roman" w:hAnsi="Times New Roman" w:cs="Times New Roman"/>
          <w:b/>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Në mbështetje të neneve 78, 83, pika 1, e 158 të Kushtetutës dhe nenit 30 të ligjit nr. 9936, datë 26.6.2008, “Për menaxhimin e sistemit buxhetor në Republikën e Shqipërisë”, të ndryshuar, me propozimin e Këshillit të Ministrave, </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 U V E N D I</w:t>
      </w: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I REPUBLIKËS SË SHQIPËRISË</w:t>
      </w: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V E N D O S I:</w:t>
      </w: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KREU I</w:t>
      </w: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w:t>
      </w: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l</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 për vitin 2024 është: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color w:val="000000" w:themeColor="text1"/>
          <w:sz w:val="24"/>
          <w:szCs w:val="24"/>
        </w:rPr>
        <w:t>676 098</w:t>
      </w:r>
      <w:r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color w:val="000000" w:themeColor="text1"/>
          <w:sz w:val="24"/>
          <w:szCs w:val="24"/>
        </w:rPr>
        <w:t>737 378</w:t>
      </w:r>
      <w:r w:rsidRPr="00E77755">
        <w:rPr>
          <w:rFonts w:ascii="Times New Roman" w:hAnsi="Times New Roman" w:cs="Times New Roman"/>
          <w:color w:val="000000" w:themeColor="text1"/>
          <w:sz w:val="24"/>
          <w:szCs w:val="24"/>
        </w:rPr>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Deficiti</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61 280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FC24EB"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w:t>
      </w:r>
      <w:r w:rsidR="00E71EE6" w:rsidRPr="00E77755">
        <w:rPr>
          <w:rFonts w:ascii="Times New Roman" w:hAnsi="Times New Roman" w:cs="Times New Roman"/>
          <w:color w:val="000000" w:themeColor="text1"/>
          <w:sz w:val="24"/>
          <w:szCs w:val="24"/>
        </w:rPr>
        <w:t xml:space="preserve"> përbëhet nga buxheti i shtetit, buxheti vendor dhe fondet speciale: sigurimet shoqërore, sigurimet shëndetësore dhe kompensimi i ish-pronarëve.</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2</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 i shtetit për vitin 2024 është: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bCs/>
          <w:color w:val="000000" w:themeColor="text1"/>
          <w:sz w:val="24"/>
          <w:szCs w:val="24"/>
        </w:rPr>
        <w:t>489 359</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color w:val="000000" w:themeColor="text1"/>
          <w:sz w:val="24"/>
          <w:szCs w:val="24"/>
        </w:rPr>
        <w:t xml:space="preserve">550 639 </w:t>
      </w:r>
      <w:r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Deficiti</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61 280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3</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 vendor për vitin 2024 është: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color w:val="000000" w:themeColor="text1"/>
          <w:sz w:val="24"/>
          <w:szCs w:val="24"/>
        </w:rPr>
        <w:t xml:space="preserve">71 249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 të cilat:</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transferta e pakushtëzuar e përgjithshme</w:t>
      </w:r>
      <w:r w:rsidRPr="00E77755">
        <w:rPr>
          <w:rFonts w:ascii="Times New Roman" w:hAnsi="Times New Roman" w:cs="Times New Roman"/>
          <w:color w:val="000000" w:themeColor="text1"/>
          <w:sz w:val="24"/>
          <w:szCs w:val="24"/>
        </w:rPr>
        <w:tab/>
        <w:t xml:space="preserve">     24 343</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transferta e pakushtëzuar sektoriale</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00A00DE3" w:rsidRPr="00E77755">
        <w:rPr>
          <w:rFonts w:ascii="Times New Roman" w:hAnsi="Times New Roman" w:cs="Times New Roman"/>
          <w:color w:val="000000" w:themeColor="text1"/>
          <w:sz w:val="24"/>
          <w:szCs w:val="24"/>
        </w:rPr>
        <w:t>10 814</w:t>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FC24EB"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lastRenderedPageBreak/>
        <w:t xml:space="preserve">- transferta sektoriale për pagat                         1 500         </w:t>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të ardhura të tjera</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34 592</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A00DE3" w:rsidRPr="00E77755">
        <w:rPr>
          <w:rFonts w:ascii="Times New Roman" w:hAnsi="Times New Roman" w:cs="Times New Roman"/>
          <w:color w:val="000000" w:themeColor="text1"/>
          <w:sz w:val="24"/>
          <w:szCs w:val="24"/>
        </w:rPr>
        <w:t>71 249</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4</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Buxheti i sigurimeve shoqërore për vitin 2024 është: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l. Sigurimi i detyrueshëm, programet kompensuese dhe trajtimet e veçanta.</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gjithsej</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169 838      milionë lekë,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 të cilat:</w:t>
      </w:r>
      <w:r w:rsidRPr="00E77755">
        <w:rPr>
          <w:rFonts w:ascii="Times New Roman" w:hAnsi="Times New Roman" w:cs="Times New Roman"/>
          <w:color w:val="000000" w:themeColor="text1"/>
          <w:sz w:val="24"/>
          <w:szCs w:val="24"/>
        </w:rPr>
        <w:tab/>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kontributet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133 059       milionë lekë; </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transferimet nga buxheti i shtetit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00FC24EB" w:rsidRPr="00E77755">
        <w:rPr>
          <w:rFonts w:ascii="Times New Roman" w:hAnsi="Times New Roman" w:cs="Times New Roman"/>
          <w:color w:val="000000" w:themeColor="text1"/>
          <w:sz w:val="24"/>
          <w:szCs w:val="24"/>
        </w:rPr>
        <w:t xml:space="preserve">  36 779</w:t>
      </w:r>
      <w:r w:rsidR="00FC24EB"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169 838       milionë lekë. </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për kategoritë e veçanta të personave të vetëpunësuar. Për vitin 2024 teprica ndërmjet të ardhurave dhe shpenzimeve, sipas degëve dhe programeve të sigurimit shoqëror të detyrueshëm e suplementar, përdoret për mbulimin e deficitit të degës së pensioneve.</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 Sigurimi suplementar.</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gjithsej</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8 200</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 të cilat:</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kontributet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3 180</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transferimet nga buxheti i shtetit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5 020</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8 200</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 Fondi për indeksimin e pensioneve është parashikuar 4 137 milionë lekë dhe bonusi i pensionistëve 3 650 milionë lekë. Ky fond ndahet midis skemave sipas përcaktimeve në vendimin e Këshillit të Ministrave.</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Përdorimi i këtij fondi bëhet sipas përcaktimeve në nenin 61 të ligjit nr. 7703, datë 11.5.1993, “Për sigurimet shoqërore në Republikën e Shqipërisë”, tё ndryshuar. Shpenzimet administrative, si pjesë e shpenzimeve totale për skemën e sigurimeve shoqërore, janë jo më shumë se 3 700 milionë lekë dhe ndahen sipas skemave në proporcion me shpenzimet e drejtpërdrejta.</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Rezultati pozitiv në fund të vitit buxhetor derdhet në të ardhurat e buxhetit të shtetit të vitit pasardhës, pas miratimit të pasqyrave financiare, por jo më vonë se muaji prill 2024.</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5</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Buxheti i sigurimeve shëndetësore për vitin 2024 është: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gjithsej</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58 052</w:t>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 të cilat:</w:t>
      </w:r>
      <w:r w:rsidRPr="00E77755">
        <w:rPr>
          <w:rFonts w:ascii="Times New Roman" w:hAnsi="Times New Roman" w:cs="Times New Roman"/>
          <w:color w:val="000000" w:themeColor="text1"/>
          <w:sz w:val="24"/>
          <w:szCs w:val="24"/>
        </w:rPr>
        <w:tab/>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kontributet dhe të tjera</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20 481</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transferimet nga buxheti i shtetit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37 571</w:t>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58 052</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Fondi pёr rimbursimin e medikamenteve nuk e tejkalon tavanin prej 12 000 milionë lekësh. Fondi për shërbimin spitalor detajohet dhe përdoret me vendim të Këshillit të Ministrave.</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6</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Buxheti i fondit për kompensimin në vlerë të ish-pronarëve për vitin 2024 është: </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gjithsej</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5 000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 të cilat:</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të ardhura të tjera</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t xml:space="preserve">   905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transferimet nga buxheti i shtetit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4 095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5 000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7</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Fondi i rindërtimit për përballimin e pasojave të tërmetit të vitit 2019 prej 7 000 milionë lekësh përdoret për të përballuar kostot për projektet e miratuara dhe të pafinancuara të viteve të mëparshme dhe pjesa e mbetur për projekte të reja.</w:t>
      </w: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Ky fond shton kufijtë e shpenzimeve për çdo ministri dhe institucion në nivel programi dhe kufijtë e transfertës së pakushtëzuar,</w:t>
      </w:r>
      <w:r w:rsidR="001941F2" w:rsidRPr="00E77755">
        <w:rPr>
          <w:rFonts w:ascii="Times New Roman" w:hAnsi="Times New Roman" w:cs="Times New Roman"/>
          <w:color w:val="000000" w:themeColor="text1"/>
          <w:sz w:val="24"/>
          <w:szCs w:val="24"/>
        </w:rPr>
        <w:t xml:space="preserve"> të miratuar në tabelat 1 dhe 3</w:t>
      </w:r>
      <w:r w:rsidRPr="00E77755">
        <w:rPr>
          <w:rFonts w:ascii="Times New Roman" w:hAnsi="Times New Roman" w:cs="Times New Roman"/>
          <w:color w:val="000000" w:themeColor="text1"/>
          <w:sz w:val="24"/>
          <w:szCs w:val="24"/>
        </w:rPr>
        <w:t xml:space="preserve"> të përmendura</w:t>
      </w:r>
      <w:r w:rsidR="001941F2" w:rsidRPr="00E77755">
        <w:rPr>
          <w:rFonts w:ascii="Times New Roman" w:hAnsi="Times New Roman" w:cs="Times New Roman"/>
          <w:color w:val="000000" w:themeColor="text1"/>
          <w:sz w:val="24"/>
          <w:szCs w:val="24"/>
        </w:rPr>
        <w:t xml:space="preserve"> në nenet 11 </w:t>
      </w:r>
      <w:r w:rsidR="00623CA9" w:rsidRPr="00E77755">
        <w:rPr>
          <w:rFonts w:ascii="Times New Roman" w:hAnsi="Times New Roman" w:cs="Times New Roman"/>
          <w:color w:val="000000" w:themeColor="text1"/>
          <w:sz w:val="24"/>
          <w:szCs w:val="24"/>
        </w:rPr>
        <w:t>dh</w:t>
      </w:r>
      <w:r w:rsidR="001941F2" w:rsidRPr="00E77755">
        <w:rPr>
          <w:rFonts w:ascii="Times New Roman" w:hAnsi="Times New Roman" w:cs="Times New Roman"/>
          <w:color w:val="000000" w:themeColor="text1"/>
          <w:sz w:val="24"/>
          <w:szCs w:val="24"/>
        </w:rPr>
        <w:t>e 15</w:t>
      </w:r>
      <w:r w:rsidRPr="00E77755">
        <w:rPr>
          <w:rFonts w:ascii="Times New Roman" w:hAnsi="Times New Roman" w:cs="Times New Roman"/>
          <w:color w:val="000000" w:themeColor="text1"/>
          <w:sz w:val="24"/>
          <w:szCs w:val="24"/>
        </w:rPr>
        <w:t xml:space="preserve"> të këtij ligji.</w:t>
      </w: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Çdo e ardhur në formë granti, me destinacion përballimin e pasojave të tërmetit, rrit në të njëjtën masë të ardhurat dhe shpenzimet e fondit të rindërtimit, duke shtuar kufijtë e përcaktuar në nenet 1, 2, 3 e 11, si dhe kufijtë e</w:t>
      </w:r>
      <w:r w:rsidR="001941F2" w:rsidRPr="00E77755">
        <w:rPr>
          <w:rFonts w:ascii="Times New Roman" w:hAnsi="Times New Roman" w:cs="Times New Roman"/>
          <w:color w:val="000000" w:themeColor="text1"/>
          <w:sz w:val="24"/>
          <w:szCs w:val="24"/>
        </w:rPr>
        <w:t xml:space="preserve"> miratuar në tabelat 1, 3 dhe 4</w:t>
      </w:r>
      <w:r w:rsidRPr="00E77755">
        <w:rPr>
          <w:rFonts w:ascii="Times New Roman" w:hAnsi="Times New Roman" w:cs="Times New Roman"/>
          <w:color w:val="000000" w:themeColor="text1"/>
          <w:sz w:val="24"/>
          <w:szCs w:val="24"/>
        </w:rPr>
        <w:t xml:space="preserve"> të përmendura</w:t>
      </w:r>
      <w:r w:rsidR="001941F2" w:rsidRPr="00E77755">
        <w:rPr>
          <w:rFonts w:ascii="Times New Roman" w:hAnsi="Times New Roman" w:cs="Times New Roman"/>
          <w:color w:val="000000" w:themeColor="text1"/>
          <w:sz w:val="24"/>
          <w:szCs w:val="24"/>
        </w:rPr>
        <w:t xml:space="preserve"> në nenet 11 e 15</w:t>
      </w:r>
      <w:r w:rsidRPr="00E77755">
        <w:rPr>
          <w:rFonts w:ascii="Times New Roman" w:hAnsi="Times New Roman" w:cs="Times New Roman"/>
          <w:color w:val="000000" w:themeColor="text1"/>
          <w:sz w:val="24"/>
          <w:szCs w:val="24"/>
        </w:rPr>
        <w:t xml:space="preserve"> të këtij ligji. Fondet që rishpërndahen me vendim të Këshillit të Ministrav</w:t>
      </w:r>
      <w:r w:rsidR="000B28B7" w:rsidRPr="00E77755">
        <w:rPr>
          <w:rFonts w:ascii="Times New Roman" w:hAnsi="Times New Roman" w:cs="Times New Roman"/>
          <w:color w:val="000000" w:themeColor="text1"/>
          <w:sz w:val="24"/>
          <w:szCs w:val="24"/>
        </w:rPr>
        <w:t>e nga programet sipas tabelës 1</w:t>
      </w:r>
      <w:r w:rsidRPr="00E77755">
        <w:rPr>
          <w:rFonts w:ascii="Times New Roman" w:hAnsi="Times New Roman" w:cs="Times New Roman"/>
          <w:color w:val="000000" w:themeColor="text1"/>
          <w:sz w:val="24"/>
          <w:szCs w:val="24"/>
        </w:rPr>
        <w:t xml:space="preserve"> </w:t>
      </w:r>
      <w:r w:rsidR="000B28B7" w:rsidRPr="00E77755">
        <w:rPr>
          <w:rFonts w:ascii="Times New Roman" w:hAnsi="Times New Roman" w:cs="Times New Roman"/>
          <w:color w:val="000000" w:themeColor="text1"/>
          <w:sz w:val="24"/>
          <w:szCs w:val="24"/>
        </w:rPr>
        <w:t>të këtij</w:t>
      </w:r>
      <w:r w:rsidRPr="00E77755">
        <w:rPr>
          <w:rFonts w:ascii="Times New Roman" w:hAnsi="Times New Roman" w:cs="Times New Roman"/>
          <w:color w:val="000000" w:themeColor="text1"/>
          <w:sz w:val="24"/>
          <w:szCs w:val="24"/>
        </w:rPr>
        <w:t xml:space="preserve"> ligj</w:t>
      </w:r>
      <w:r w:rsidR="000B28B7" w:rsidRPr="00E77755">
        <w:rPr>
          <w:rFonts w:ascii="Times New Roman" w:hAnsi="Times New Roman" w:cs="Times New Roman"/>
          <w:color w:val="000000" w:themeColor="text1"/>
          <w:sz w:val="24"/>
          <w:szCs w:val="24"/>
        </w:rPr>
        <w:t>i</w:t>
      </w:r>
      <w:r w:rsidRPr="00E77755">
        <w:rPr>
          <w:rFonts w:ascii="Times New Roman" w:hAnsi="Times New Roman" w:cs="Times New Roman"/>
          <w:color w:val="000000" w:themeColor="text1"/>
          <w:sz w:val="24"/>
          <w:szCs w:val="24"/>
        </w:rPr>
        <w:t xml:space="preserve">, si ato korrente dhe ato kapitale, në fondin e rindërtimit, nuk </w:t>
      </w:r>
      <w:r w:rsidR="001941F2" w:rsidRPr="00E77755">
        <w:rPr>
          <w:rFonts w:ascii="Times New Roman" w:hAnsi="Times New Roman" w:cs="Times New Roman"/>
          <w:color w:val="000000" w:themeColor="text1"/>
          <w:sz w:val="24"/>
          <w:szCs w:val="24"/>
        </w:rPr>
        <w:t>u</w:t>
      </w:r>
      <w:r w:rsidRPr="00E77755">
        <w:rPr>
          <w:rFonts w:ascii="Times New Roman" w:hAnsi="Times New Roman" w:cs="Times New Roman"/>
          <w:color w:val="000000" w:themeColor="text1"/>
          <w:sz w:val="24"/>
          <w:szCs w:val="24"/>
        </w:rPr>
        <w:t xml:space="preserve"> nënshtrohen ku</w:t>
      </w:r>
      <w:r w:rsidR="001941F2" w:rsidRPr="00E77755">
        <w:rPr>
          <w:rFonts w:ascii="Times New Roman" w:hAnsi="Times New Roman" w:cs="Times New Roman"/>
          <w:color w:val="000000" w:themeColor="text1"/>
          <w:sz w:val="24"/>
          <w:szCs w:val="24"/>
        </w:rPr>
        <w:t>fijve të përcaktuar në nenin 17</w:t>
      </w:r>
      <w:r w:rsidRPr="00E77755">
        <w:rPr>
          <w:rFonts w:ascii="Times New Roman" w:hAnsi="Times New Roman" w:cs="Times New Roman"/>
          <w:color w:val="000000" w:themeColor="text1"/>
          <w:sz w:val="24"/>
          <w:szCs w:val="24"/>
        </w:rPr>
        <w:t xml:space="preserve"> të këtij ligji.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8</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Përdorimi dhe investimi i fondit rezervë të sigurimeve shoqërore dhe shëndetësore bëhet sipas dispozitave ligjore në fuqi.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KREU II</w:t>
      </w:r>
    </w:p>
    <w:p w:rsidR="001941F2" w:rsidRPr="00E77755" w:rsidRDefault="001941F2" w:rsidP="001941F2">
      <w:pPr>
        <w:spacing w:after="0" w:line="240" w:lineRule="auto"/>
        <w:jc w:val="center"/>
        <w:rPr>
          <w:rFonts w:ascii="Times New Roman" w:hAnsi="Times New Roman" w:cs="Times New Roman"/>
          <w:color w:val="000000" w:themeColor="text1"/>
          <w:sz w:val="24"/>
          <w:szCs w:val="24"/>
        </w:rPr>
      </w:pP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BURIMET PËR MBËSHTETJEN E SHPENZIMEVE TË BUXHETIT TË SHTETIT</w:t>
      </w: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9</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e buxhetit të shtetit sipas grupeve kryesore janë:</w:t>
      </w: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Gra</w:t>
      </w:r>
      <w:r w:rsidR="001941F2" w:rsidRPr="00E77755">
        <w:rPr>
          <w:rFonts w:ascii="Times New Roman" w:hAnsi="Times New Roman" w:cs="Times New Roman"/>
          <w:color w:val="000000" w:themeColor="text1"/>
          <w:sz w:val="24"/>
          <w:szCs w:val="24"/>
        </w:rPr>
        <w:t>ntet</w:t>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t xml:space="preserve">             </w:t>
      </w:r>
      <w:r w:rsidR="001941F2"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16 957         milionë lekë;</w:t>
      </w: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 t</w:t>
      </w:r>
      <w:r w:rsidR="001941F2" w:rsidRPr="00E77755">
        <w:rPr>
          <w:rFonts w:ascii="Times New Roman" w:hAnsi="Times New Roman" w:cs="Times New Roman"/>
          <w:color w:val="000000" w:themeColor="text1"/>
          <w:sz w:val="24"/>
          <w:szCs w:val="24"/>
        </w:rPr>
        <w:t>atimore</w:t>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t xml:space="preserve">       </w:t>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t>447 002</w:t>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milionë lekë;</w:t>
      </w: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Të ardhurat</w:t>
      </w:r>
      <w:r w:rsidR="001941F2" w:rsidRPr="00E77755">
        <w:rPr>
          <w:rFonts w:ascii="Times New Roman" w:hAnsi="Times New Roman" w:cs="Times New Roman"/>
          <w:color w:val="000000" w:themeColor="text1"/>
          <w:sz w:val="24"/>
          <w:szCs w:val="24"/>
        </w:rPr>
        <w:t xml:space="preserve"> jotatimore</w:t>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r>
      <w:r w:rsidR="001941F2" w:rsidRPr="00E77755">
        <w:rPr>
          <w:rFonts w:ascii="Times New Roman" w:hAnsi="Times New Roman" w:cs="Times New Roman"/>
          <w:color w:val="000000" w:themeColor="text1"/>
          <w:sz w:val="24"/>
          <w:szCs w:val="24"/>
        </w:rPr>
        <w:tab/>
        <w:t xml:space="preserve">  </w:t>
      </w:r>
      <w:r w:rsidR="001941F2" w:rsidRPr="00E77755">
        <w:rPr>
          <w:rFonts w:ascii="Times New Roman" w:hAnsi="Times New Roman" w:cs="Times New Roman"/>
          <w:color w:val="000000" w:themeColor="text1"/>
          <w:sz w:val="24"/>
          <w:szCs w:val="24"/>
        </w:rPr>
        <w:tab/>
        <w:t xml:space="preserve">  </w:t>
      </w:r>
      <w:r w:rsidR="00A00DE3" w:rsidRPr="00E77755">
        <w:rPr>
          <w:rFonts w:ascii="Times New Roman" w:hAnsi="Times New Roman" w:cs="Times New Roman"/>
          <w:color w:val="000000" w:themeColor="text1"/>
          <w:sz w:val="24"/>
          <w:szCs w:val="24"/>
        </w:rPr>
        <w:t>25 401</w:t>
      </w:r>
      <w:r w:rsidR="00AB14B8" w:rsidRPr="00E77755">
        <w:rPr>
          <w:rFonts w:ascii="Times New Roman" w:hAnsi="Times New Roman" w:cs="Times New Roman"/>
          <w:color w:val="000000" w:themeColor="text1"/>
          <w:sz w:val="24"/>
          <w:szCs w:val="24"/>
        </w:rPr>
        <w:tab/>
      </w:r>
      <w:r w:rsidR="00AB14B8"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milionë lekë.</w:t>
      </w:r>
    </w:p>
    <w:p w:rsidR="001941F2" w:rsidRPr="00E77755" w:rsidRDefault="001941F2"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10</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1941F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Deficiti faktik i buxhetit të shtetit, i cili nuk duhet të rezultojë më tepër se deficiti i përcaktuar në nenin 1 të këtij ligji, mund të financohet nëpërmjet huamarrjes neto nga burime të brendshme deri në kufirin maksi</w:t>
      </w:r>
      <w:r w:rsidR="001941F2" w:rsidRPr="00E77755">
        <w:rPr>
          <w:rFonts w:ascii="Times New Roman" w:hAnsi="Times New Roman" w:cs="Times New Roman"/>
          <w:color w:val="000000" w:themeColor="text1"/>
          <w:sz w:val="24"/>
          <w:szCs w:val="24"/>
        </w:rPr>
        <w:t xml:space="preserve">mal prej </w:t>
      </w:r>
      <w:r w:rsidRPr="00E77755">
        <w:rPr>
          <w:rFonts w:ascii="Times New Roman" w:hAnsi="Times New Roman" w:cs="Times New Roman"/>
          <w:color w:val="000000" w:themeColor="text1"/>
          <w:sz w:val="24"/>
          <w:szCs w:val="24"/>
        </w:rPr>
        <w:t>50 000 milionë lekësh.</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lastRenderedPageBreak/>
        <w:t>Pjesa tjetër e financimit të deficitit faktik të buxhetit të shtetit financohet nëpërmjet huamarrjes neto nga burime të huaja, si dhe ndryshimit pakësues ose shtues të gjendjes së llogarisë unike të Këshillit të Ministrave në Bankën e Shqipërisë dhe llogarive të fondeve speciale në bankat e nivelit të dytë.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Vlera indikative e financimit nëpërmjet huamarrjes neto nga burime të huaja është rreth (minus) 15 545 milionë lekë, ku përfshihen huamarrjet dhe ripagesat me vlera të përafërta indikative, si më poshtë: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ab/>
        <w:t>Huamarrje afa</w:t>
      </w:r>
      <w:r w:rsidR="00AB14B8" w:rsidRPr="00E77755">
        <w:rPr>
          <w:rFonts w:ascii="Times New Roman" w:hAnsi="Times New Roman" w:cs="Times New Roman"/>
          <w:color w:val="000000" w:themeColor="text1"/>
          <w:sz w:val="24"/>
          <w:szCs w:val="24"/>
        </w:rPr>
        <w:t>tgjatë e destinuar për projekte</w:t>
      </w:r>
      <w:r w:rsidRPr="00E77755">
        <w:rPr>
          <w:rFonts w:ascii="Times New Roman" w:hAnsi="Times New Roman" w:cs="Times New Roman"/>
          <w:color w:val="000000" w:themeColor="text1"/>
          <w:sz w:val="24"/>
          <w:szCs w:val="24"/>
        </w:rPr>
        <w:t xml:space="preserve"> me vlerë rreth 30 030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ab/>
        <w:t>Huamarrje në formën e “mbështetjes buxhetore” nga institu</w:t>
      </w:r>
      <w:r w:rsidR="00AB14B8" w:rsidRPr="00E77755">
        <w:rPr>
          <w:rFonts w:ascii="Times New Roman" w:hAnsi="Times New Roman" w:cs="Times New Roman"/>
          <w:color w:val="000000" w:themeColor="text1"/>
          <w:sz w:val="24"/>
          <w:szCs w:val="24"/>
        </w:rPr>
        <w:t xml:space="preserve">cione financiare ndërkombëtare </w:t>
      </w:r>
      <w:r w:rsidRPr="00E77755">
        <w:rPr>
          <w:rFonts w:ascii="Times New Roman" w:hAnsi="Times New Roman" w:cs="Times New Roman"/>
          <w:color w:val="000000" w:themeColor="text1"/>
          <w:sz w:val="24"/>
          <w:szCs w:val="24"/>
        </w:rPr>
        <w:t>me vlerë rreth 6 571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  </w:t>
      </w:r>
      <w:r w:rsidR="007B46AF" w:rsidRPr="00E77755">
        <w:rPr>
          <w:rFonts w:ascii="Times New Roman" w:hAnsi="Times New Roman" w:cs="Times New Roman"/>
          <w:color w:val="000000" w:themeColor="text1"/>
          <w:sz w:val="24"/>
          <w:szCs w:val="24"/>
        </w:rPr>
        <w:t xml:space="preserve">Ripagesa të principalit </w:t>
      </w:r>
      <w:r w:rsidRPr="00E77755">
        <w:rPr>
          <w:rFonts w:ascii="Times New Roman" w:hAnsi="Times New Roman" w:cs="Times New Roman"/>
          <w:color w:val="000000" w:themeColor="text1"/>
          <w:sz w:val="24"/>
          <w:szCs w:val="24"/>
        </w:rPr>
        <w:t>me vlerë rreth 52 146 milionë lekë;</w:t>
      </w:r>
    </w:p>
    <w:p w:rsidR="00E71EE6" w:rsidRPr="00E77755" w:rsidRDefault="007B46AF"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Nënhua për pushtetin vendor</w:t>
      </w:r>
      <w:r w:rsidR="00E71EE6" w:rsidRPr="00E77755">
        <w:rPr>
          <w:rFonts w:ascii="Times New Roman" w:hAnsi="Times New Roman" w:cs="Times New Roman"/>
          <w:color w:val="000000" w:themeColor="text1"/>
          <w:sz w:val="24"/>
          <w:szCs w:val="24"/>
        </w:rPr>
        <w:t xml:space="preserve"> me vlerë rreth 1 000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Vlera indikative e financimit nëpërmjet përdorimit të gjendjes së akumuluar në llogarinë unike të Këshillit të Ministrave në Bankën e Shqipërisë është rreth 16 825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Vlera indikative e financimit nëpërmjet përdorimit të gjendjes së akumuluar në llogaritë e fondeve speciale në bankat e nivelit të dytë është rreth 10 000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5.</w:t>
      </w:r>
      <w:r w:rsidRPr="00E77755">
        <w:rPr>
          <w:rFonts w:ascii="Times New Roman" w:hAnsi="Times New Roman" w:cs="Times New Roman"/>
          <w:color w:val="000000" w:themeColor="text1"/>
          <w:sz w:val="24"/>
          <w:szCs w:val="24"/>
        </w:rPr>
        <w:tab/>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6.</w:t>
      </w:r>
      <w:r w:rsidRPr="00E77755">
        <w:rPr>
          <w:rFonts w:ascii="Times New Roman" w:hAnsi="Times New Roman" w:cs="Times New Roman"/>
          <w:color w:val="000000" w:themeColor="text1"/>
          <w:sz w:val="24"/>
          <w:szCs w:val="24"/>
        </w:rPr>
        <w:tab/>
        <w:t>Të ardhurat nga privatizimi, që mund të krijohen gjatë vitit 2024,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w:t>
      </w:r>
      <w:r w:rsidR="00BA7752" w:rsidRPr="00E77755">
        <w:rPr>
          <w:rFonts w:ascii="Times New Roman" w:hAnsi="Times New Roman" w:cs="Times New Roman"/>
          <w:color w:val="000000" w:themeColor="text1"/>
          <w:sz w:val="24"/>
          <w:szCs w:val="24"/>
        </w:rPr>
        <w:t xml:space="preserve"> të përcaktuar në nenet 1 dhe 2</w:t>
      </w:r>
      <w:r w:rsidRPr="00E77755">
        <w:rPr>
          <w:rFonts w:ascii="Times New Roman" w:hAnsi="Times New Roman" w:cs="Times New Roman"/>
          <w:color w:val="000000" w:themeColor="text1"/>
          <w:sz w:val="24"/>
          <w:szCs w:val="24"/>
        </w:rPr>
        <w:t xml:space="preserve"> të këtij ligji.</w:t>
      </w:r>
    </w:p>
    <w:p w:rsidR="00BA7752" w:rsidRPr="00E77755" w:rsidRDefault="00BA7752"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KREU III</w:t>
      </w:r>
    </w:p>
    <w:p w:rsidR="00BA7752" w:rsidRPr="00E77755" w:rsidRDefault="00BA7752" w:rsidP="00BA7752">
      <w:pPr>
        <w:spacing w:after="0" w:line="240" w:lineRule="auto"/>
        <w:jc w:val="center"/>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SHPENZIMET E BUXHETIT TË SHTETIT</w:t>
      </w: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11</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 Shpenzimet e buxhetit të shtetit sipas grupeve kryesore janë: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ab/>
        <w:t>shpenzime të buxhetit qendror</w:t>
      </w:r>
      <w:r w:rsidRPr="00E77755">
        <w:rPr>
          <w:rFonts w:ascii="Times New Roman" w:hAnsi="Times New Roman" w:cs="Times New Roman"/>
          <w:color w:val="000000" w:themeColor="text1"/>
          <w:sz w:val="24"/>
          <w:szCs w:val="24"/>
        </w:rPr>
        <w:tab/>
        <w:t xml:space="preserve">        </w:t>
      </w:r>
      <w:r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ab/>
        <w:t xml:space="preserve">  </w:t>
      </w:r>
      <w:r w:rsidR="00A00DE3" w:rsidRPr="00E77755">
        <w:rPr>
          <w:rFonts w:ascii="Times New Roman" w:hAnsi="Times New Roman" w:cs="Times New Roman"/>
          <w:color w:val="000000" w:themeColor="text1"/>
          <w:sz w:val="24"/>
          <w:szCs w:val="24"/>
        </w:rPr>
        <w:t>531 839</w:t>
      </w:r>
      <w:r w:rsidRPr="00E77755">
        <w:rPr>
          <w:rFonts w:ascii="Times New Roman" w:hAnsi="Times New Roman" w:cs="Times New Roman"/>
          <w:color w:val="000000" w:themeColor="text1"/>
          <w:sz w:val="24"/>
          <w:szCs w:val="24"/>
        </w:rPr>
        <w:tab/>
        <w:t xml:space="preserve">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ab/>
        <w:t>fondi rezervë i buxhe</w:t>
      </w:r>
      <w:r w:rsidR="00BA7752" w:rsidRPr="00E77755">
        <w:rPr>
          <w:rFonts w:ascii="Times New Roman" w:hAnsi="Times New Roman" w:cs="Times New Roman"/>
          <w:color w:val="000000" w:themeColor="text1"/>
          <w:sz w:val="24"/>
          <w:szCs w:val="24"/>
        </w:rPr>
        <w:t xml:space="preserve">tit                          </w:t>
      </w:r>
      <w:r w:rsidR="00BA7752" w:rsidRPr="00E77755">
        <w:rPr>
          <w:rFonts w:ascii="Times New Roman" w:hAnsi="Times New Roman" w:cs="Times New Roman"/>
          <w:color w:val="000000" w:themeColor="text1"/>
          <w:sz w:val="24"/>
          <w:szCs w:val="24"/>
        </w:rPr>
        <w:tab/>
      </w:r>
      <w:r w:rsidR="00BA7752"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2 500</w:t>
      </w:r>
      <w:r w:rsidRPr="00E77755">
        <w:rPr>
          <w:rFonts w:ascii="Times New Roman" w:hAnsi="Times New Roman" w:cs="Times New Roman"/>
          <w:color w:val="000000" w:themeColor="text1"/>
          <w:sz w:val="24"/>
          <w:szCs w:val="24"/>
        </w:rPr>
        <w:tab/>
        <w:t xml:space="preserve">     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ab/>
        <w:t xml:space="preserve">kontingjenca për rritjen e pagave                </w:t>
      </w:r>
      <w:r w:rsidR="00BA7752" w:rsidRPr="00E77755">
        <w:rPr>
          <w:rFonts w:ascii="Times New Roman" w:hAnsi="Times New Roman" w:cs="Times New Roman"/>
          <w:color w:val="000000" w:themeColor="text1"/>
          <w:sz w:val="24"/>
          <w:szCs w:val="24"/>
        </w:rPr>
        <w:t xml:space="preserve">   11 000        </w:t>
      </w:r>
      <w:r w:rsidRPr="00E77755">
        <w:rPr>
          <w:rFonts w:ascii="Times New Roman" w:hAnsi="Times New Roman" w:cs="Times New Roman"/>
          <w:color w:val="000000" w:themeColor="text1"/>
          <w:sz w:val="24"/>
          <w:szCs w:val="24"/>
        </w:rPr>
        <w:t>milionë lekë;</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ab/>
        <w:t>kontingjenc</w:t>
      </w:r>
      <w:r w:rsidR="00BA7752" w:rsidRPr="00E77755">
        <w:rPr>
          <w:rFonts w:ascii="Times New Roman" w:hAnsi="Times New Roman" w:cs="Times New Roman"/>
          <w:color w:val="000000" w:themeColor="text1"/>
          <w:sz w:val="24"/>
          <w:szCs w:val="24"/>
        </w:rPr>
        <w:t>a për risqet e borxhit</w:t>
      </w:r>
      <w:r w:rsidR="00BA7752" w:rsidRPr="00E77755">
        <w:rPr>
          <w:rFonts w:ascii="Times New Roman" w:hAnsi="Times New Roman" w:cs="Times New Roman"/>
          <w:color w:val="000000" w:themeColor="text1"/>
          <w:sz w:val="24"/>
          <w:szCs w:val="24"/>
        </w:rPr>
        <w:tab/>
        <w:t xml:space="preserve">      </w:t>
      </w:r>
      <w:r w:rsidR="00BA7752" w:rsidRPr="00E77755">
        <w:rPr>
          <w:rFonts w:ascii="Times New Roman" w:hAnsi="Times New Roman" w:cs="Times New Roman"/>
          <w:color w:val="000000" w:themeColor="text1"/>
          <w:sz w:val="24"/>
          <w:szCs w:val="24"/>
        </w:rPr>
        <w:tab/>
      </w:r>
      <w:r w:rsidR="00BA7752" w:rsidRPr="00E77755">
        <w:rPr>
          <w:rFonts w:ascii="Times New Roman" w:hAnsi="Times New Roman" w:cs="Times New Roman"/>
          <w:color w:val="000000" w:themeColor="text1"/>
          <w:sz w:val="24"/>
          <w:szCs w:val="24"/>
        </w:rPr>
        <w:tab/>
      </w:r>
      <w:r w:rsidRPr="00E77755">
        <w:rPr>
          <w:rFonts w:ascii="Times New Roman" w:hAnsi="Times New Roman" w:cs="Times New Roman"/>
          <w:color w:val="000000" w:themeColor="text1"/>
          <w:sz w:val="24"/>
          <w:szCs w:val="24"/>
        </w:rPr>
        <w:t>5 300</w:t>
      </w:r>
      <w:r w:rsidRPr="00E77755">
        <w:rPr>
          <w:rFonts w:ascii="Times New Roman" w:hAnsi="Times New Roman" w:cs="Times New Roman"/>
          <w:color w:val="000000" w:themeColor="text1"/>
          <w:sz w:val="24"/>
          <w:szCs w:val="24"/>
        </w:rPr>
        <w:tab/>
        <w:t xml:space="preserve">     </w:t>
      </w:r>
      <w:r w:rsidR="00BA7752"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2. </w:t>
      </w:r>
      <w:r w:rsidRPr="00E77755">
        <w:rPr>
          <w:rFonts w:ascii="Times New Roman" w:hAnsi="Times New Roman" w:cs="Times New Roman"/>
          <w:color w:val="000000" w:themeColor="text1"/>
          <w:sz w:val="24"/>
          <w:szCs w:val="24"/>
        </w:rPr>
        <w:tab/>
        <w:t>Kufiri i shpenzimeve për çdo ministri dhe institucion, në nivel programi, për shpenzime korrente dhe kapitale është sipas tabelës 1 që i bashkëlidhet këtij ligji.</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Në tabelat 1/1 dhe 1/2 </w:t>
      </w:r>
      <w:r w:rsidR="0026293F" w:rsidRPr="00E77755">
        <w:rPr>
          <w:rFonts w:ascii="Times New Roman" w:hAnsi="Times New Roman" w:cs="Times New Roman"/>
          <w:color w:val="000000" w:themeColor="text1"/>
          <w:sz w:val="24"/>
          <w:szCs w:val="24"/>
        </w:rPr>
        <w:t xml:space="preserve">të këtij ligji </w:t>
      </w:r>
      <w:r w:rsidRPr="00E77755">
        <w:rPr>
          <w:rFonts w:ascii="Times New Roman" w:hAnsi="Times New Roman" w:cs="Times New Roman"/>
          <w:color w:val="000000" w:themeColor="text1"/>
          <w:sz w:val="24"/>
          <w:szCs w:val="24"/>
        </w:rPr>
        <w:t>përcaktohen kufijtë e shpenzimeve për çdo ministri dhe institucion, në nivel programi, për shpenzime korrente dhe kapitale, përkatësisht  për vitet  2025 dhe 2026. Transferta e pakushtëzuar për çdo njësi të vetëqeverisjes vendore miratohet vetëm për vitin 2024.</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 xml:space="preserve">Të ardhurat dhe shpenzimet e buxhetit, sipas zërave kryesorë, për dy vitet e mëparshme fiskale dhe tri vitet </w:t>
      </w:r>
      <w:r w:rsidR="00BA7752" w:rsidRPr="00E77755">
        <w:rPr>
          <w:rFonts w:ascii="Times New Roman" w:hAnsi="Times New Roman" w:cs="Times New Roman"/>
          <w:color w:val="000000" w:themeColor="text1"/>
          <w:sz w:val="24"/>
          <w:szCs w:val="24"/>
        </w:rPr>
        <w:t>e ardhshme janë sipas tabelës 4</w:t>
      </w:r>
      <w:r w:rsidRPr="00E77755">
        <w:rPr>
          <w:rFonts w:ascii="Times New Roman" w:hAnsi="Times New Roman" w:cs="Times New Roman"/>
          <w:color w:val="000000" w:themeColor="text1"/>
          <w:sz w:val="24"/>
          <w:szCs w:val="24"/>
        </w:rPr>
        <w:t xml:space="preserve"> që i bashkëlidhet  këtij ligji.</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Njësitë e qeverisjes së përgjithshme mund të fillojnë procedurën e prokurimit të fondeve që në muajin nëntor të vitit korrent nëse fondet janë akorduar/regjistruar në sistemin e thesarit për vitin 2025 dhe në vijim, me kushtin që kjo kontratë të bëhet efektive vetëm pas miratimit të ligjit të buxhetit përkatës. Për projektet e investimeve publike shumëvjeçare, me vlerë të plotë mbi 650 milionë lekë, procedura e prokurimit mund të fillojë që në muajin prill të vitit korrent.</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lastRenderedPageBreak/>
        <w:t>5.</w:t>
      </w:r>
      <w:r w:rsidRPr="00E77755">
        <w:rPr>
          <w:rFonts w:ascii="Times New Roman" w:hAnsi="Times New Roman" w:cs="Times New Roman"/>
          <w:color w:val="000000" w:themeColor="text1"/>
          <w:sz w:val="24"/>
          <w:szCs w:val="24"/>
        </w:rPr>
        <w:tab/>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mbështetjes së naftës për bujqësinë miratohen me vendim të Këshillit të Ministrave.</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6.</w:t>
      </w:r>
      <w:r w:rsidRPr="00E77755">
        <w:rPr>
          <w:rFonts w:ascii="Times New Roman" w:hAnsi="Times New Roman" w:cs="Times New Roman"/>
          <w:color w:val="000000" w:themeColor="text1"/>
          <w:sz w:val="24"/>
          <w:szCs w:val="24"/>
        </w:rPr>
        <w:tab/>
        <w:t>Fondi prej 100 milionë lekësh, i parashikuar në programin buxhetor “Ekzekutimi i pagesave të ndryshme” në Minis</w:t>
      </w:r>
      <w:r w:rsidR="0026293F" w:rsidRPr="00E77755">
        <w:rPr>
          <w:rFonts w:ascii="Times New Roman" w:hAnsi="Times New Roman" w:cs="Times New Roman"/>
          <w:color w:val="000000" w:themeColor="text1"/>
          <w:sz w:val="24"/>
          <w:szCs w:val="24"/>
        </w:rPr>
        <w:t>trinë e Financave dhe Ekonomisë</w:t>
      </w:r>
      <w:r w:rsidRPr="00E77755">
        <w:rPr>
          <w:rFonts w:ascii="Times New Roman" w:hAnsi="Times New Roman" w:cs="Times New Roman"/>
          <w:color w:val="000000" w:themeColor="text1"/>
          <w:sz w:val="24"/>
          <w:szCs w:val="24"/>
        </w:rPr>
        <w:t xml:space="preserve">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shpenzimeve të përcaktuara në nenin 3</w:t>
      </w:r>
      <w:r w:rsidR="0026293F" w:rsidRPr="00E77755">
        <w:rPr>
          <w:rFonts w:ascii="Times New Roman" w:hAnsi="Times New Roman" w:cs="Times New Roman"/>
          <w:color w:val="000000" w:themeColor="text1"/>
          <w:sz w:val="24"/>
          <w:szCs w:val="24"/>
        </w:rPr>
        <w:t xml:space="preserve"> të këtij ligji</w:t>
      </w:r>
      <w:r w:rsidRPr="00E77755">
        <w:rPr>
          <w:rFonts w:ascii="Times New Roman" w:hAnsi="Times New Roman" w:cs="Times New Roman"/>
          <w:color w:val="000000" w:themeColor="text1"/>
          <w:sz w:val="24"/>
          <w:szCs w:val="24"/>
        </w:rPr>
        <w:t xml:space="preserve">, si dhe në tabelat 1 dhe 3, që përmenden </w:t>
      </w:r>
      <w:r w:rsidR="00BA7752" w:rsidRPr="00E77755">
        <w:rPr>
          <w:rFonts w:ascii="Times New Roman" w:hAnsi="Times New Roman" w:cs="Times New Roman"/>
          <w:color w:val="000000" w:themeColor="text1"/>
          <w:sz w:val="24"/>
          <w:szCs w:val="24"/>
        </w:rPr>
        <w:t>përkatësisht në nenet 11 dhe 15</w:t>
      </w:r>
      <w:r w:rsidRPr="00E77755">
        <w:rPr>
          <w:rFonts w:ascii="Times New Roman" w:hAnsi="Times New Roman" w:cs="Times New Roman"/>
          <w:color w:val="000000" w:themeColor="text1"/>
          <w:sz w:val="24"/>
          <w:szCs w:val="24"/>
        </w:rPr>
        <w:t xml:space="preserve"> të këtij ligji.</w:t>
      </w:r>
    </w:p>
    <w:p w:rsidR="00A00DE3" w:rsidRPr="00E77755" w:rsidRDefault="00A00DE3"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7</w:t>
      </w:r>
      <w:r w:rsidR="0026293F" w:rsidRPr="00E77755">
        <w:rPr>
          <w:rFonts w:ascii="Times New Roman" w:hAnsi="Times New Roman" w:cs="Times New Roman"/>
          <w:color w:val="000000" w:themeColor="text1"/>
          <w:sz w:val="24"/>
          <w:szCs w:val="24"/>
        </w:rPr>
        <w:t>. Fondi prej 400 milionë lekësh në zërin "shpenzime kapitale"</w:t>
      </w:r>
      <w:r w:rsidRPr="00E77755">
        <w:rPr>
          <w:rFonts w:ascii="Times New Roman" w:hAnsi="Times New Roman" w:cs="Times New Roman"/>
          <w:color w:val="000000" w:themeColor="text1"/>
          <w:sz w:val="24"/>
          <w:szCs w:val="24"/>
        </w:rPr>
        <w:t xml:space="preserve"> në </w:t>
      </w:r>
      <w:r w:rsidR="00CB474E" w:rsidRPr="00E77755">
        <w:rPr>
          <w:rFonts w:ascii="Times New Roman" w:hAnsi="Times New Roman" w:cs="Times New Roman"/>
          <w:color w:val="000000" w:themeColor="text1"/>
          <w:sz w:val="24"/>
          <w:szCs w:val="24"/>
        </w:rPr>
        <w:t>p</w:t>
      </w:r>
      <w:r w:rsidRPr="00E77755">
        <w:rPr>
          <w:rFonts w:ascii="Times New Roman" w:hAnsi="Times New Roman" w:cs="Times New Roman"/>
          <w:color w:val="000000" w:themeColor="text1"/>
          <w:sz w:val="24"/>
          <w:szCs w:val="24"/>
        </w:rPr>
        <w:t xml:space="preserve">rogramin "Menaxhimi i </w:t>
      </w:r>
      <w:r w:rsidR="00CB474E" w:rsidRPr="00E77755">
        <w:rPr>
          <w:rFonts w:ascii="Times New Roman" w:hAnsi="Times New Roman" w:cs="Times New Roman"/>
          <w:color w:val="000000" w:themeColor="text1"/>
          <w:sz w:val="24"/>
          <w:szCs w:val="24"/>
        </w:rPr>
        <w:t>i</w:t>
      </w:r>
      <w:r w:rsidRPr="00E77755">
        <w:rPr>
          <w:rFonts w:ascii="Times New Roman" w:hAnsi="Times New Roman" w:cs="Times New Roman"/>
          <w:color w:val="000000" w:themeColor="text1"/>
          <w:sz w:val="24"/>
          <w:szCs w:val="24"/>
        </w:rPr>
        <w:t xml:space="preserve">nfrastrukturës së </w:t>
      </w:r>
      <w:r w:rsidR="00CB474E" w:rsidRPr="00E77755">
        <w:rPr>
          <w:rFonts w:ascii="Times New Roman" w:hAnsi="Times New Roman" w:cs="Times New Roman"/>
          <w:color w:val="000000" w:themeColor="text1"/>
          <w:sz w:val="24"/>
          <w:szCs w:val="24"/>
        </w:rPr>
        <w:t>k</w:t>
      </w:r>
      <w:r w:rsidRPr="00E77755">
        <w:rPr>
          <w:rFonts w:ascii="Times New Roman" w:hAnsi="Times New Roman" w:cs="Times New Roman"/>
          <w:color w:val="000000" w:themeColor="text1"/>
          <w:sz w:val="24"/>
          <w:szCs w:val="24"/>
        </w:rPr>
        <w:t xml:space="preserve">ullimit dhe </w:t>
      </w:r>
      <w:r w:rsidR="00CB474E" w:rsidRPr="00E77755">
        <w:rPr>
          <w:rFonts w:ascii="Times New Roman" w:hAnsi="Times New Roman" w:cs="Times New Roman"/>
          <w:color w:val="000000" w:themeColor="text1"/>
          <w:sz w:val="24"/>
          <w:szCs w:val="24"/>
        </w:rPr>
        <w:t>u</w:t>
      </w:r>
      <w:r w:rsidR="00D1517D" w:rsidRPr="00E77755">
        <w:rPr>
          <w:rFonts w:ascii="Times New Roman" w:hAnsi="Times New Roman" w:cs="Times New Roman"/>
          <w:color w:val="000000" w:themeColor="text1"/>
          <w:sz w:val="24"/>
          <w:szCs w:val="24"/>
        </w:rPr>
        <w:t xml:space="preserve">jitjes" </w:t>
      </w:r>
      <w:r w:rsidRPr="00E77755">
        <w:rPr>
          <w:rFonts w:ascii="Times New Roman" w:hAnsi="Times New Roman" w:cs="Times New Roman"/>
          <w:color w:val="000000" w:themeColor="text1"/>
          <w:sz w:val="24"/>
          <w:szCs w:val="24"/>
        </w:rPr>
        <w:t>të Ministrisë së</w:t>
      </w:r>
      <w:r w:rsidR="00D1517D" w:rsidRPr="00E77755">
        <w:rPr>
          <w:rFonts w:ascii="Times New Roman" w:hAnsi="Times New Roman" w:cs="Times New Roman"/>
          <w:color w:val="000000" w:themeColor="text1"/>
          <w:sz w:val="24"/>
          <w:szCs w:val="24"/>
        </w:rPr>
        <w:t xml:space="preserve"> Bujqësisë dhe Zhvillimit Rural</w:t>
      </w:r>
      <w:r w:rsidRPr="00E77755">
        <w:rPr>
          <w:rFonts w:ascii="Times New Roman" w:hAnsi="Times New Roman" w:cs="Times New Roman"/>
          <w:color w:val="000000" w:themeColor="text1"/>
          <w:sz w:val="24"/>
          <w:szCs w:val="24"/>
        </w:rPr>
        <w:t xml:space="preserve"> akordohet me vendim të Këshillit të Ministrave për financimin e projekteve të infrastrukturës së </w:t>
      </w:r>
      <w:r w:rsidR="00D1517D" w:rsidRPr="00E77755">
        <w:rPr>
          <w:rFonts w:ascii="Times New Roman" w:hAnsi="Times New Roman" w:cs="Times New Roman"/>
          <w:color w:val="000000" w:themeColor="text1"/>
          <w:sz w:val="24"/>
          <w:szCs w:val="24"/>
        </w:rPr>
        <w:t xml:space="preserve">kullimit dhe ujitjes </w:t>
      </w:r>
      <w:r w:rsidRPr="00E77755">
        <w:rPr>
          <w:rFonts w:ascii="Times New Roman" w:hAnsi="Times New Roman" w:cs="Times New Roman"/>
          <w:color w:val="000000" w:themeColor="text1"/>
          <w:sz w:val="24"/>
          <w:szCs w:val="24"/>
        </w:rPr>
        <w:t>të bashkive.</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12</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 xml:space="preserve">Numri i përgjithshëm i punonjësve në organikë është  </w:t>
      </w:r>
      <w:r w:rsidR="00637B8A" w:rsidRPr="00E77755">
        <w:rPr>
          <w:rFonts w:ascii="Times New Roman" w:hAnsi="Times New Roman" w:cs="Times New Roman"/>
          <w:color w:val="000000" w:themeColor="text1"/>
          <w:sz w:val="24"/>
          <w:szCs w:val="24"/>
        </w:rPr>
        <w:t>85 274</w:t>
      </w:r>
      <w:r w:rsidRPr="00E77755">
        <w:rPr>
          <w:rFonts w:ascii="Times New Roman" w:hAnsi="Times New Roman" w:cs="Times New Roman"/>
          <w:color w:val="000000" w:themeColor="text1"/>
          <w:sz w:val="24"/>
          <w:szCs w:val="24"/>
        </w:rPr>
        <w:t>. Numri maksimal i punonjësve për çdo ministri dhe institucion qendror, i dhënë në tabelën 2 që i bashkëlidhet këtij ligji dhe është pjesë përbërëse e tij, detajohet nga minist</w:t>
      </w:r>
      <w:r w:rsidR="00225EBD" w:rsidRPr="00E77755">
        <w:rPr>
          <w:rFonts w:ascii="Times New Roman" w:hAnsi="Times New Roman" w:cs="Times New Roman"/>
          <w:color w:val="000000" w:themeColor="text1"/>
          <w:sz w:val="24"/>
          <w:szCs w:val="24"/>
        </w:rPr>
        <w:t>ritë dhe institucionet qendrore</w:t>
      </w:r>
      <w:r w:rsidRPr="00E77755">
        <w:rPr>
          <w:rFonts w:ascii="Times New Roman" w:hAnsi="Times New Roman" w:cs="Times New Roman"/>
          <w:color w:val="000000" w:themeColor="text1"/>
          <w:sz w:val="24"/>
          <w:szCs w:val="24"/>
        </w:rPr>
        <w:t xml:space="preserve"> në përputhje me strukturat e miratuara për çdo institucion varësie. Këshilli i Ministrave mund të rishpërndajë numrin e punonjësve ndërmjet institucioneve të përmendura në tabelën 2, që i bashkëlidhet këtij ligji, në rastin e ristrukturimit të institucioneve ekzistuese ose krijimit të institucioneve të reja.</w:t>
      </w:r>
    </w:p>
    <w:p w:rsidR="00E71EE6" w:rsidRPr="00E77755" w:rsidRDefault="00E71EE6" w:rsidP="001E2ADF">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Numri i punonjësve</w:t>
      </w:r>
      <w:r w:rsidR="001E2ADF"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 xml:space="preserve"> </w:t>
      </w:r>
      <w:r w:rsidR="001E2ADF" w:rsidRPr="00E77755">
        <w:rPr>
          <w:rFonts w:ascii="Times New Roman" w:hAnsi="Times New Roman" w:cs="Times New Roman"/>
          <w:color w:val="000000" w:themeColor="text1"/>
          <w:sz w:val="24"/>
          <w:szCs w:val="24"/>
        </w:rPr>
        <w:t>i cili</w:t>
      </w:r>
      <w:r w:rsidRPr="00E77755">
        <w:rPr>
          <w:rFonts w:ascii="Times New Roman" w:hAnsi="Times New Roman" w:cs="Times New Roman"/>
          <w:color w:val="000000" w:themeColor="text1"/>
          <w:sz w:val="24"/>
          <w:szCs w:val="24"/>
        </w:rPr>
        <w:t xml:space="preserve"> nga ristrukturimi i çdo institucioni, i realizuar në kuadër </w:t>
      </w:r>
      <w:r w:rsidR="001E2ADF" w:rsidRPr="00E77755">
        <w:rPr>
          <w:rFonts w:ascii="Times New Roman" w:hAnsi="Times New Roman" w:cs="Times New Roman"/>
          <w:color w:val="000000" w:themeColor="text1"/>
          <w:sz w:val="24"/>
          <w:szCs w:val="24"/>
        </w:rPr>
        <w:t xml:space="preserve">të </w:t>
      </w:r>
      <w:r w:rsidRPr="00E77755">
        <w:rPr>
          <w:rFonts w:ascii="Times New Roman" w:hAnsi="Times New Roman" w:cs="Times New Roman"/>
          <w:color w:val="000000" w:themeColor="text1"/>
          <w:sz w:val="24"/>
          <w:szCs w:val="24"/>
        </w:rPr>
        <w:t>reformës së pagave, rezulton i pakësuar në krahasim me atë të miratuar në tabelën 2</w:t>
      </w:r>
      <w:r w:rsidR="001E2ADF" w:rsidRPr="00E77755">
        <w:rPr>
          <w:rFonts w:ascii="Times New Roman" w:hAnsi="Times New Roman" w:cs="Times New Roman"/>
          <w:color w:val="000000" w:themeColor="text1"/>
          <w:sz w:val="24"/>
          <w:szCs w:val="24"/>
        </w:rPr>
        <w:t xml:space="preserve"> të këtij ligji</w:t>
      </w:r>
      <w:r w:rsidRPr="00E77755">
        <w:rPr>
          <w:rFonts w:ascii="Times New Roman" w:hAnsi="Times New Roman" w:cs="Times New Roman"/>
          <w:color w:val="000000" w:themeColor="text1"/>
          <w:sz w:val="24"/>
          <w:szCs w:val="24"/>
        </w:rPr>
        <w:t>, kalon në numrin rezervë të parashikuar në këtë tabelë dhe përdoret me vendim të Këshillit të Ministrave për krijimin e institucioneve/funksioneve të reja</w:t>
      </w:r>
      <w:r w:rsidR="001E2ADF"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 xml:space="preserve"> si dhe për strukturat e lidhura me negociatat </w:t>
      </w:r>
      <w:r w:rsidR="001E2ADF" w:rsidRPr="00E77755">
        <w:rPr>
          <w:rFonts w:ascii="Times New Roman" w:hAnsi="Times New Roman" w:cs="Times New Roman"/>
          <w:color w:val="000000" w:themeColor="text1"/>
          <w:sz w:val="24"/>
          <w:szCs w:val="24"/>
        </w:rPr>
        <w:t>dhe anëtarësimin në Bashkimin Eu</w:t>
      </w:r>
      <w:r w:rsidRPr="00E77755">
        <w:rPr>
          <w:rFonts w:ascii="Times New Roman" w:hAnsi="Times New Roman" w:cs="Times New Roman"/>
          <w:color w:val="000000" w:themeColor="text1"/>
          <w:sz w:val="24"/>
          <w:szCs w:val="24"/>
        </w:rPr>
        <w:t>ropian.</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Këshilli i Ministrave përcakton numrin e punonjësve me kontratë të përkohshme për çdo ministri dhe institucion qendror. Rregullat për kontraktimin dhe pagesën e punonjësve të përk</w:t>
      </w:r>
      <w:r w:rsidR="001E2ADF" w:rsidRPr="00E77755">
        <w:rPr>
          <w:rFonts w:ascii="Times New Roman" w:hAnsi="Times New Roman" w:cs="Times New Roman"/>
          <w:color w:val="000000" w:themeColor="text1"/>
          <w:sz w:val="24"/>
          <w:szCs w:val="24"/>
        </w:rPr>
        <w:t xml:space="preserve">ohshëm përcaktohen në aneksin 5 që i bashkëlidhet këtij </w:t>
      </w:r>
      <w:r w:rsidRPr="00E77755">
        <w:rPr>
          <w:rFonts w:ascii="Times New Roman" w:hAnsi="Times New Roman" w:cs="Times New Roman"/>
          <w:color w:val="000000" w:themeColor="text1"/>
          <w:sz w:val="24"/>
          <w:szCs w:val="24"/>
        </w:rPr>
        <w:t>ligji.</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Për vitin 2024 nuk miratohet asnjë ndryshim në strukturat organike të njësive të qeverisjes qendrore me efekte financiare shtesë në koston e personelit, të përllogaritur sipas strukturës së miratuar, me përjashtim të institucioneve/funksioneve 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Fondi i veçantë i institucioneve buxhetore prej 400 milionë lekësh shpërndahet dhe përdoret sipas procedurave që përcaktohen me udhëzim të ministrit përgjegjës për financat. Shumat e shpërndara nga ky fond shtojnë kufijtë e miratuar në tabe</w:t>
      </w:r>
      <w:r w:rsidR="001E2ADF" w:rsidRPr="00E77755">
        <w:rPr>
          <w:rFonts w:ascii="Times New Roman" w:hAnsi="Times New Roman" w:cs="Times New Roman"/>
          <w:color w:val="000000" w:themeColor="text1"/>
          <w:sz w:val="24"/>
          <w:szCs w:val="24"/>
        </w:rPr>
        <w:t>lën 1, që përmendet në nenin 11</w:t>
      </w:r>
      <w:r w:rsidRPr="00E77755">
        <w:rPr>
          <w:rFonts w:ascii="Times New Roman" w:hAnsi="Times New Roman" w:cs="Times New Roman"/>
          <w:color w:val="000000" w:themeColor="text1"/>
          <w:sz w:val="24"/>
          <w:szCs w:val="24"/>
        </w:rPr>
        <w:t xml:space="preserve"> të këtij ligji.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13</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Paga e Presidentit të Republikës është 425 000 lekë në muaj.</w:t>
      </w:r>
    </w:p>
    <w:p w:rsidR="00BA7752" w:rsidRPr="00E77755" w:rsidRDefault="00BA7752"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BA7752">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14</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D63F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 xml:space="preserve">Fondi rezervë prej  2 500 milionë lekësh përdoret me vendim të Këshillit të Ministrave për raste të paparashikuara të njësive të qeverisjes së përgjithshme. Çdo ministri apo institucion qendror buxhetor paraqet kërkesën për përdorimin e fondit rezervë në ministrinë përgjegjëse për financat, në </w:t>
      </w:r>
      <w:r w:rsidRPr="00E77755">
        <w:rPr>
          <w:rFonts w:ascii="Times New Roman" w:hAnsi="Times New Roman" w:cs="Times New Roman"/>
          <w:color w:val="000000" w:themeColor="text1"/>
          <w:sz w:val="24"/>
          <w:szCs w:val="24"/>
        </w:rPr>
        <w:lastRenderedPageBreak/>
        <w:t>p</w:t>
      </w:r>
      <w:r w:rsidR="003B717B" w:rsidRPr="00E77755">
        <w:rPr>
          <w:rFonts w:ascii="Times New Roman" w:hAnsi="Times New Roman" w:cs="Times New Roman"/>
          <w:color w:val="000000" w:themeColor="text1"/>
          <w:sz w:val="24"/>
          <w:szCs w:val="24"/>
        </w:rPr>
        <w:t>ërputhje me kërkesat e nenit 45</w:t>
      </w:r>
      <w:r w:rsidRPr="00E77755">
        <w:rPr>
          <w:rFonts w:ascii="Times New Roman" w:hAnsi="Times New Roman" w:cs="Times New Roman"/>
          <w:color w:val="000000" w:themeColor="text1"/>
          <w:sz w:val="24"/>
          <w:szCs w:val="24"/>
        </w:rPr>
        <w:t xml:space="preserve"> të ligjit nr.</w:t>
      </w:r>
      <w:r w:rsidR="003B717B"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9936, datë 26.6.2008, “Për menaxhimin e sistemit buxhetor në Republ</w:t>
      </w:r>
      <w:r w:rsidR="001E24B1" w:rsidRPr="00E77755">
        <w:rPr>
          <w:rFonts w:ascii="Times New Roman" w:hAnsi="Times New Roman" w:cs="Times New Roman"/>
          <w:color w:val="000000" w:themeColor="text1"/>
          <w:sz w:val="24"/>
          <w:szCs w:val="24"/>
        </w:rPr>
        <w:t>ikën e Shqipërisë”, i ndryshuar.</w:t>
      </w:r>
      <w:r w:rsidRPr="00E77755">
        <w:rPr>
          <w:rFonts w:ascii="Times New Roman" w:hAnsi="Times New Roman" w:cs="Times New Roman"/>
          <w:color w:val="000000" w:themeColor="text1"/>
          <w:sz w:val="24"/>
          <w:szCs w:val="24"/>
        </w:rPr>
        <w:t xml:space="preserve"> </w:t>
      </w:r>
      <w:r w:rsidR="001E24B1" w:rsidRPr="00E77755">
        <w:rPr>
          <w:rFonts w:ascii="Times New Roman" w:hAnsi="Times New Roman" w:cs="Times New Roman"/>
          <w:color w:val="000000" w:themeColor="text1"/>
          <w:sz w:val="24"/>
          <w:szCs w:val="24"/>
        </w:rPr>
        <w:t>P</w:t>
      </w:r>
      <w:r w:rsidRPr="00E77755">
        <w:rPr>
          <w:rFonts w:ascii="Times New Roman" w:hAnsi="Times New Roman" w:cs="Times New Roman"/>
          <w:color w:val="000000" w:themeColor="text1"/>
          <w:sz w:val="24"/>
          <w:szCs w:val="24"/>
        </w:rPr>
        <w:t xml:space="preserve">as miratimit </w:t>
      </w:r>
      <w:r w:rsidR="00E90D23" w:rsidRPr="00E77755">
        <w:rPr>
          <w:rFonts w:ascii="Times New Roman" w:hAnsi="Times New Roman" w:cs="Times New Roman"/>
          <w:color w:val="000000" w:themeColor="text1"/>
          <w:sz w:val="24"/>
          <w:szCs w:val="24"/>
        </w:rPr>
        <w:t>të kërkesës nga</w:t>
      </w:r>
      <w:r w:rsidR="001E24B1" w:rsidRPr="00E77755">
        <w:rPr>
          <w:rFonts w:ascii="Times New Roman" w:hAnsi="Times New Roman" w:cs="Times New Roman"/>
          <w:color w:val="000000" w:themeColor="text1"/>
          <w:sz w:val="24"/>
          <w:szCs w:val="24"/>
        </w:rPr>
        <w:t xml:space="preserve"> ministri përgjegjës për financat</w:t>
      </w:r>
      <w:r w:rsidRPr="00E77755">
        <w:rPr>
          <w:rFonts w:ascii="Times New Roman" w:hAnsi="Times New Roman" w:cs="Times New Roman"/>
          <w:color w:val="000000" w:themeColor="text1"/>
          <w:sz w:val="24"/>
          <w:szCs w:val="24"/>
        </w:rPr>
        <w:t xml:space="preserve">, ministria apo institucioni qendror buxhetor paraqet për shqyrtim dhe miratim në Këshillin e Ministrave projektvendimin përkatës. </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 xml:space="preserve">Kontingjenca për risqet e borxhit prej 5 300 milionë lekësh përdoret nga ministri përgjegjës për financat për të kompensuar rreziqe potenciale nga luhatjet në kurset e </w:t>
      </w:r>
      <w:r w:rsidR="00E90D23" w:rsidRPr="00E77755">
        <w:rPr>
          <w:rFonts w:ascii="Times New Roman" w:hAnsi="Times New Roman" w:cs="Times New Roman"/>
          <w:color w:val="000000" w:themeColor="text1"/>
          <w:sz w:val="24"/>
          <w:szCs w:val="24"/>
        </w:rPr>
        <w:t>këmbimit ose normat e interesit</w:t>
      </w:r>
      <w:r w:rsidRPr="00E77755">
        <w:rPr>
          <w:rFonts w:ascii="Times New Roman" w:hAnsi="Times New Roman" w:cs="Times New Roman"/>
          <w:color w:val="000000" w:themeColor="text1"/>
          <w:sz w:val="24"/>
          <w:szCs w:val="24"/>
        </w:rPr>
        <w:t xml:space="preserve"> me ndikim në shpenzimet për interesa.</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Kontingjenca për rritjen e pagave prej 11 000 milionë lekësh përdoret me vendim të Këshillit të Ministrave për politika të reja pagash.</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 xml:space="preserve">Shumat e shpërndara nga fondi rezervё, </w:t>
      </w:r>
      <w:r w:rsidR="00001183" w:rsidRPr="00E77755">
        <w:rPr>
          <w:rFonts w:ascii="Times New Roman" w:hAnsi="Times New Roman" w:cs="Times New Roman"/>
          <w:color w:val="000000" w:themeColor="text1"/>
          <w:sz w:val="24"/>
          <w:szCs w:val="24"/>
        </w:rPr>
        <w:t xml:space="preserve">kontingjenca për risqet e borxhit dhe kontingjenca për rritjen e pagave </w:t>
      </w:r>
      <w:r w:rsidRPr="00E77755">
        <w:rPr>
          <w:rFonts w:ascii="Times New Roman" w:hAnsi="Times New Roman" w:cs="Times New Roman"/>
          <w:color w:val="000000" w:themeColor="text1"/>
          <w:sz w:val="24"/>
          <w:szCs w:val="24"/>
        </w:rPr>
        <w:t xml:space="preserve">shtojnë kufijtë e miratuar në tabelat 1 </w:t>
      </w:r>
      <w:r w:rsidR="003960E0" w:rsidRPr="00E77755">
        <w:rPr>
          <w:rFonts w:ascii="Times New Roman" w:hAnsi="Times New Roman" w:cs="Times New Roman"/>
          <w:color w:val="000000" w:themeColor="text1"/>
          <w:sz w:val="24"/>
          <w:szCs w:val="24"/>
        </w:rPr>
        <w:t>dhe 4, që përmenden në nenin 11</w:t>
      </w:r>
      <w:r w:rsidRPr="00E77755">
        <w:rPr>
          <w:rFonts w:ascii="Times New Roman" w:hAnsi="Times New Roman" w:cs="Times New Roman"/>
          <w:color w:val="000000" w:themeColor="text1"/>
          <w:sz w:val="24"/>
          <w:szCs w:val="24"/>
        </w:rPr>
        <w:t xml:space="preserve"> të këtij ligji.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15</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w:t>
      </w:r>
      <w:r w:rsidRPr="00E77755">
        <w:rPr>
          <w:rFonts w:ascii="Times New Roman" w:hAnsi="Times New Roman" w:cs="Times New Roman"/>
          <w:color w:val="000000" w:themeColor="text1"/>
          <w:sz w:val="24"/>
          <w:szCs w:val="24"/>
        </w:rPr>
        <w:tab/>
        <w:t>Transferta e pakushtëzuar, që buxheti qendror ia transferon pushtetit vendor, përfshin fondet për përballimin e veprimtarive dhe të funksioneve që përcaktohen në aktet ligjore e nënligjore në fuqi. Transferta e pakushtëzuar e përgjithshme shpërndahet ndërmjet njësive të vetëqeverisjes vendore sipas formulës së paraqitur në aneksin 1, që i bashkëlidhet këtij ligji. Shuma e transfertës së pakushtëzuar për çdo njësi të vetëqeverisjes vendore paraqitet në tabelën 3, që i bashkëlidhet këtij ligji.</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Fondi rezervë nga totali i transfertës së pakushtëzuar të përgjithshme përdoret nga ministria përgjegjëse për financat, në përputhje me kriteret e përcaktuara në aneksin 2, që i bashkëlidhet këtij ligji. Fondet për programin buxhetor për infrastrukturën vendore dhe rajonale përdoren sipas aneksit 3, që i bashkëlidhet këtij ligji.</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Transferta e pakushtëzuar sektoriale për funksionet e transferuara në bashkitë shpërndahet sipas anekseve 1 dhe 4, që i bashkëlidhen këtij ligji.</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 xml:space="preserve">Personeli administrativ i këshillit të qarkut nuk </w:t>
      </w:r>
      <w:r w:rsidR="0052733B" w:rsidRPr="00E77755">
        <w:rPr>
          <w:rFonts w:ascii="Times New Roman" w:hAnsi="Times New Roman" w:cs="Times New Roman"/>
          <w:color w:val="000000" w:themeColor="text1"/>
          <w:sz w:val="24"/>
          <w:szCs w:val="24"/>
        </w:rPr>
        <w:t>mund të jetë më shumë se 10 punonjës</w:t>
      </w:r>
      <w:r w:rsidRPr="00E77755">
        <w:rPr>
          <w:rFonts w:ascii="Times New Roman" w:hAnsi="Times New Roman" w:cs="Times New Roman"/>
          <w:color w:val="000000" w:themeColor="text1"/>
          <w:sz w:val="24"/>
          <w:szCs w:val="24"/>
        </w:rPr>
        <w:t>.</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5.</w:t>
      </w:r>
      <w:r w:rsidRPr="00E77755">
        <w:rPr>
          <w:rFonts w:ascii="Times New Roman" w:hAnsi="Times New Roman" w:cs="Times New Roman"/>
          <w:color w:val="000000" w:themeColor="text1"/>
          <w:sz w:val="24"/>
          <w:szCs w:val="24"/>
        </w:rPr>
        <w:tab/>
        <w:t>Fondet e trashëguara nga vitet e mëparshme përdoren nga njësitë e vetëqeverisjes vendore sipas rregullave të përcaktuara nga ministri përgjegjës për financat.</w:t>
      </w:r>
    </w:p>
    <w:p w:rsidR="00E71EE6" w:rsidRPr="00E77755" w:rsidRDefault="0052733B"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6.</w:t>
      </w:r>
      <w:r w:rsidRPr="00E77755">
        <w:rPr>
          <w:rFonts w:ascii="Times New Roman" w:hAnsi="Times New Roman" w:cs="Times New Roman"/>
          <w:color w:val="000000" w:themeColor="text1"/>
          <w:sz w:val="24"/>
          <w:szCs w:val="24"/>
        </w:rPr>
        <w:tab/>
        <w:t>Fondi për emergjencat civile në masën 800 milionë lekë</w:t>
      </w:r>
      <w:r w:rsidR="00E71EE6" w:rsidRPr="00E77755">
        <w:rPr>
          <w:rFonts w:ascii="Times New Roman" w:hAnsi="Times New Roman" w:cs="Times New Roman"/>
          <w:color w:val="000000" w:themeColor="text1"/>
          <w:sz w:val="24"/>
          <w:szCs w:val="24"/>
        </w:rPr>
        <w:t xml:space="preserve"> akordohet në programin “Emergjencat civile” të Ministrisë së Mbrojtjes dhe shpërndahet në formën e transfertës së kushtëzuar për njësitë e vetëqeverisjes vendore nga Ministria e Mbrojtjes në bashkëpunim me Ministrinë e Financave dhe Ekonomisë me një formulë, e cila bazohet në peshën specifike që zë buxheti i çdo bashkie ndaj totalit të buxhetit të të gjitha bashkive.  </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7.</w:t>
      </w:r>
      <w:r w:rsidRPr="00E77755">
        <w:rPr>
          <w:rFonts w:ascii="Times New Roman" w:hAnsi="Times New Roman" w:cs="Times New Roman"/>
          <w:color w:val="000000" w:themeColor="text1"/>
          <w:sz w:val="24"/>
          <w:szCs w:val="24"/>
        </w:rPr>
        <w:tab/>
        <w:t>Fondi prej 1 000 milionë lekësh në zërin “</w:t>
      </w:r>
      <w:r w:rsidR="0052733B" w:rsidRPr="00E77755">
        <w:rPr>
          <w:rFonts w:ascii="Times New Roman" w:hAnsi="Times New Roman" w:cs="Times New Roman"/>
          <w:color w:val="000000" w:themeColor="text1"/>
          <w:sz w:val="24"/>
          <w:szCs w:val="24"/>
        </w:rPr>
        <w:t>Shpenzime kapitale”</w:t>
      </w:r>
      <w:r w:rsidRPr="00E77755">
        <w:rPr>
          <w:rFonts w:ascii="Times New Roman" w:hAnsi="Times New Roman" w:cs="Times New Roman"/>
          <w:color w:val="000000" w:themeColor="text1"/>
          <w:sz w:val="24"/>
          <w:szCs w:val="24"/>
        </w:rPr>
        <w:t xml:space="preserve"> në programin “Emergjencat civile” të Ministrisë së Mbrojtjes akordohet me vendim të Këshillit të Ministrave për financimin e projekteve që lidhen me parandalimin e fatkeqësive natyror</w:t>
      </w:r>
      <w:r w:rsidR="0052733B" w:rsidRPr="00E77755">
        <w:rPr>
          <w:rFonts w:ascii="Times New Roman" w:hAnsi="Times New Roman" w:cs="Times New Roman"/>
          <w:color w:val="000000" w:themeColor="text1"/>
          <w:sz w:val="24"/>
          <w:szCs w:val="24"/>
        </w:rPr>
        <w:t>e, sipas kritereve në aneksin 6,</w:t>
      </w:r>
      <w:r w:rsidRPr="00E77755">
        <w:rPr>
          <w:rFonts w:ascii="Times New Roman" w:hAnsi="Times New Roman" w:cs="Times New Roman"/>
          <w:color w:val="000000" w:themeColor="text1"/>
          <w:sz w:val="24"/>
          <w:szCs w:val="24"/>
        </w:rPr>
        <w:t xml:space="preserve"> që i bashkëlidhet këtij ligji. </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8.</w:t>
      </w:r>
      <w:r w:rsidRPr="00E77755">
        <w:rPr>
          <w:rFonts w:ascii="Times New Roman" w:hAnsi="Times New Roman" w:cs="Times New Roman"/>
          <w:color w:val="000000" w:themeColor="text1"/>
          <w:sz w:val="24"/>
          <w:szCs w:val="24"/>
        </w:rPr>
        <w:tab/>
        <w:t>Fondi prej 500 milionë lekës</w:t>
      </w:r>
      <w:r w:rsidR="0052733B" w:rsidRPr="00E77755">
        <w:rPr>
          <w:rFonts w:ascii="Times New Roman" w:hAnsi="Times New Roman" w:cs="Times New Roman"/>
          <w:color w:val="000000" w:themeColor="text1"/>
          <w:sz w:val="24"/>
          <w:szCs w:val="24"/>
        </w:rPr>
        <w:t>h në zërin “Shpenzime kapitale”</w:t>
      </w:r>
      <w:r w:rsidRPr="00E77755">
        <w:rPr>
          <w:rFonts w:ascii="Times New Roman" w:hAnsi="Times New Roman" w:cs="Times New Roman"/>
          <w:color w:val="000000" w:themeColor="text1"/>
          <w:sz w:val="24"/>
          <w:szCs w:val="24"/>
        </w:rPr>
        <w:t xml:space="preserve"> në programin “Emergjencat civile” të Ministrisë së Mbrojtjes akordohet me vendim të Këshillit të Ministrave për financimin e projekteve që lidhen me digat, sipas kritereve në aneksin 7, që i bashkëlidhet këtij ligji. </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9.</w:t>
      </w:r>
      <w:r w:rsidRPr="00E77755">
        <w:rPr>
          <w:rFonts w:ascii="Times New Roman" w:hAnsi="Times New Roman" w:cs="Times New Roman"/>
          <w:color w:val="000000" w:themeColor="text1"/>
          <w:sz w:val="24"/>
          <w:szCs w:val="24"/>
        </w:rPr>
        <w:tab/>
        <w:t>Fondi prej 200 milionë lekës</w:t>
      </w:r>
      <w:r w:rsidR="0052733B" w:rsidRPr="00E77755">
        <w:rPr>
          <w:rFonts w:ascii="Times New Roman" w:hAnsi="Times New Roman" w:cs="Times New Roman"/>
          <w:color w:val="000000" w:themeColor="text1"/>
          <w:sz w:val="24"/>
          <w:szCs w:val="24"/>
        </w:rPr>
        <w:t>h në zërin “Shpenzime kapitale”</w:t>
      </w:r>
      <w:r w:rsidRPr="00E77755">
        <w:rPr>
          <w:rFonts w:ascii="Times New Roman" w:hAnsi="Times New Roman" w:cs="Times New Roman"/>
          <w:color w:val="000000" w:themeColor="text1"/>
          <w:sz w:val="24"/>
          <w:szCs w:val="24"/>
        </w:rPr>
        <w:t xml:space="preserve"> në programin “Emergjencat civile” të Ministrisë së Mbrojtjes përdoret për eliminimin e pasojave në rastet e fatkeqësive natyrore, kur shpenzimi ka natyrën e investimit. Ky fond shpërndahet gjatë vitit buxhetor në bazë të kërkesës së njësisë së vetëqeverisjes vendore, sipas rasteve të ndodhjes së fatkeqësisë.</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10.</w:t>
      </w:r>
      <w:r w:rsidRPr="00E77755">
        <w:rPr>
          <w:rFonts w:ascii="Times New Roman" w:hAnsi="Times New Roman" w:cs="Times New Roman"/>
          <w:color w:val="000000" w:themeColor="text1"/>
          <w:sz w:val="24"/>
          <w:szCs w:val="24"/>
        </w:rPr>
        <w:tab/>
        <w:t>Fondi për mbetjet ur</w:t>
      </w:r>
      <w:r w:rsidR="0052733B" w:rsidRPr="00E77755">
        <w:rPr>
          <w:rFonts w:ascii="Times New Roman" w:hAnsi="Times New Roman" w:cs="Times New Roman"/>
          <w:color w:val="000000" w:themeColor="text1"/>
          <w:sz w:val="24"/>
          <w:szCs w:val="24"/>
        </w:rPr>
        <w:t xml:space="preserve">bane, në masën </w:t>
      </w:r>
      <w:r w:rsidR="00CF5B1F" w:rsidRPr="00E77755">
        <w:rPr>
          <w:rFonts w:ascii="Times New Roman" w:hAnsi="Times New Roman" w:cs="Times New Roman"/>
          <w:color w:val="000000" w:themeColor="text1"/>
          <w:sz w:val="24"/>
          <w:szCs w:val="24"/>
        </w:rPr>
        <w:t>788</w:t>
      </w:r>
      <w:r w:rsidR="0052733B" w:rsidRPr="00E77755">
        <w:rPr>
          <w:rFonts w:ascii="Times New Roman" w:hAnsi="Times New Roman" w:cs="Times New Roman"/>
          <w:color w:val="000000" w:themeColor="text1"/>
          <w:sz w:val="24"/>
          <w:szCs w:val="24"/>
        </w:rPr>
        <w:t xml:space="preserve"> milionë lekë</w:t>
      </w:r>
      <w:r w:rsidRPr="00E77755">
        <w:rPr>
          <w:rFonts w:ascii="Times New Roman" w:hAnsi="Times New Roman" w:cs="Times New Roman"/>
          <w:color w:val="000000" w:themeColor="text1"/>
          <w:sz w:val="24"/>
          <w:szCs w:val="24"/>
        </w:rPr>
        <w:t xml:space="preserve"> akordohet si transfertë e pakushtëzuar sektoriale për njësitë e vetëqeverisjes vendore për mbetjet urbane në kolonën “Menaxhimi i mbetjeve u</w:t>
      </w:r>
      <w:r w:rsidR="0052733B" w:rsidRPr="00E77755">
        <w:rPr>
          <w:rFonts w:ascii="Times New Roman" w:hAnsi="Times New Roman" w:cs="Times New Roman"/>
          <w:color w:val="000000" w:themeColor="text1"/>
          <w:sz w:val="24"/>
          <w:szCs w:val="24"/>
        </w:rPr>
        <w:t>rbane” dhe përdoret/shpërndahet</w:t>
      </w:r>
      <w:r w:rsidRPr="00E77755">
        <w:rPr>
          <w:rFonts w:ascii="Times New Roman" w:hAnsi="Times New Roman" w:cs="Times New Roman"/>
          <w:color w:val="000000" w:themeColor="text1"/>
          <w:sz w:val="24"/>
          <w:szCs w:val="24"/>
        </w:rPr>
        <w:t xml:space="preserve"> në përputhje me kriteret e vendosura në aneksin 8, që i bashkëlidhet këtij ligji.</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11.</w:t>
      </w:r>
      <w:r w:rsidRPr="00E77755">
        <w:rPr>
          <w:rFonts w:ascii="Times New Roman" w:hAnsi="Times New Roman" w:cs="Times New Roman"/>
          <w:color w:val="000000" w:themeColor="text1"/>
          <w:sz w:val="24"/>
          <w:szCs w:val="24"/>
        </w:rPr>
        <w:tab/>
        <w:t xml:space="preserve">Njësitë e vetëqeverisjes vendore aplikojnë për financim/bashkëfinancim për përmirësimin e infrastrukturës shkollore dhe asaj sportive pranë ministrisë përgjegjëse për arsimin dhe sportin. </w:t>
      </w:r>
      <w:r w:rsidRPr="00E77755">
        <w:rPr>
          <w:rFonts w:ascii="Times New Roman" w:hAnsi="Times New Roman" w:cs="Times New Roman"/>
          <w:color w:val="000000" w:themeColor="text1"/>
          <w:sz w:val="24"/>
          <w:szCs w:val="24"/>
        </w:rPr>
        <w:lastRenderedPageBreak/>
        <w:t>Ministri përgjegjës për arsimin dhe sportin nxjerr udhëzim për kriteret, procedurat, afatet për shpalljen e thirrjes dhe dokumentacionin e nevojshëm për aplikim nga njësitë e vetëqeverisjes vendore.</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16</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1. </w:t>
      </w:r>
      <w:r w:rsidRPr="00E77755">
        <w:rPr>
          <w:rFonts w:ascii="Times New Roman" w:hAnsi="Times New Roman" w:cs="Times New Roman"/>
          <w:color w:val="000000" w:themeColor="text1"/>
          <w:sz w:val="24"/>
          <w:szCs w:val="24"/>
        </w:rPr>
        <w:tab/>
        <w:t>Fondet e buxhetit të shtetit për institucionet e arsimit të lartë shpërndahen në formën e grantit. Ky fond shpërndahet</w:t>
      </w:r>
      <w:r w:rsidR="003B717B" w:rsidRPr="00E77755">
        <w:rPr>
          <w:rFonts w:ascii="Times New Roman" w:hAnsi="Times New Roman" w:cs="Times New Roman"/>
          <w:color w:val="000000" w:themeColor="text1"/>
          <w:sz w:val="24"/>
          <w:szCs w:val="24"/>
        </w:rPr>
        <w:t xml:space="preserve"> sipas kategorive të mëposhtme:</w:t>
      </w:r>
    </w:p>
    <w:p w:rsidR="00E71EE6" w:rsidRPr="00E77755" w:rsidRDefault="003B717B"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a) g</w:t>
      </w:r>
      <w:r w:rsidR="00E71EE6" w:rsidRPr="00E77755">
        <w:rPr>
          <w:rFonts w:ascii="Times New Roman" w:hAnsi="Times New Roman" w:cs="Times New Roman"/>
          <w:color w:val="000000" w:themeColor="text1"/>
          <w:sz w:val="24"/>
          <w:szCs w:val="24"/>
        </w:rPr>
        <w:t>ranti i politikave të zhvillimit për institucionet publike të arsimit të lartë;</w:t>
      </w:r>
    </w:p>
    <w:p w:rsidR="00E71EE6" w:rsidRPr="00E77755" w:rsidRDefault="003B717B"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 g</w:t>
      </w:r>
      <w:r w:rsidR="00E71EE6" w:rsidRPr="00E77755">
        <w:rPr>
          <w:rFonts w:ascii="Times New Roman" w:hAnsi="Times New Roman" w:cs="Times New Roman"/>
          <w:color w:val="000000" w:themeColor="text1"/>
          <w:sz w:val="24"/>
          <w:szCs w:val="24"/>
        </w:rPr>
        <w:t>ranti i mësimdhënies;</w:t>
      </w:r>
    </w:p>
    <w:p w:rsidR="00E71EE6" w:rsidRPr="00E77755" w:rsidRDefault="003B717B"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c) g</w:t>
      </w:r>
      <w:r w:rsidR="00E71EE6" w:rsidRPr="00E77755">
        <w:rPr>
          <w:rFonts w:ascii="Times New Roman" w:hAnsi="Times New Roman" w:cs="Times New Roman"/>
          <w:color w:val="000000" w:themeColor="text1"/>
          <w:sz w:val="24"/>
          <w:szCs w:val="24"/>
        </w:rPr>
        <w:t>ranti i punës kërkimore-shkencore dhe veprimtarive krijuese.</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Modeli i financimit për institucionet e arsimit të lartë dhe kërkimin shkencor miratohet me vendim të Këshillit të Ministrave. Kriteret për përdorimin e granteve të politikave të zhvillimit për institucionet publike të arsimit të lartë dhe granti i punës kërkimore-shkencore dhe veprimtarive krijuese janë përcaktuar në  nenet 111 dhe</w:t>
      </w:r>
      <w:r w:rsidR="0052733B" w:rsidRPr="00E77755">
        <w:rPr>
          <w:rFonts w:ascii="Times New Roman" w:hAnsi="Times New Roman" w:cs="Times New Roman"/>
          <w:color w:val="000000" w:themeColor="text1"/>
          <w:sz w:val="24"/>
          <w:szCs w:val="24"/>
        </w:rPr>
        <w:t xml:space="preserve"> 113 të ligjit nr. 80/2015</w:t>
      </w:r>
      <w:r w:rsidRPr="00E77755">
        <w:rPr>
          <w:rFonts w:ascii="Times New Roman" w:hAnsi="Times New Roman" w:cs="Times New Roman"/>
          <w:color w:val="000000" w:themeColor="text1"/>
          <w:sz w:val="24"/>
          <w:szCs w:val="24"/>
        </w:rPr>
        <w:t xml:space="preserve"> “Për arsimin e lartë dhe kërkimin shkencor në institucionet e arsimit të lartë në Republikën e Shqipërisë”.</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4.</w:t>
      </w:r>
      <w:r w:rsidRPr="00E77755">
        <w:rPr>
          <w:rFonts w:ascii="Times New Roman" w:hAnsi="Times New Roman" w:cs="Times New Roman"/>
          <w:color w:val="000000" w:themeColor="text1"/>
          <w:sz w:val="24"/>
          <w:szCs w:val="24"/>
        </w:rPr>
        <w:tab/>
        <w:t xml:space="preserve">Fondi i projekteve konkurruese për zhvillimin e institucioneve të arsimit të lartë mund të shpërndahet edhe te njësitë e vetëqeverisjes vendore në ato raste kur me vendim të Këshillit të Ministrave ato përcaktohen autoritete kontraktore për realizimin e procedurave të prokurimit për studim-projektimin apo zbatimin e projektit për një ose disa institucione të arsimit </w:t>
      </w:r>
      <w:r w:rsidR="00B93CCD" w:rsidRPr="00E77755">
        <w:rPr>
          <w:rFonts w:ascii="Times New Roman" w:hAnsi="Times New Roman" w:cs="Times New Roman"/>
          <w:color w:val="000000" w:themeColor="text1"/>
          <w:sz w:val="24"/>
          <w:szCs w:val="24"/>
        </w:rPr>
        <w:t>të lartë. Në këto raste</w:t>
      </w:r>
      <w:r w:rsidRPr="00E77755">
        <w:rPr>
          <w:rFonts w:ascii="Times New Roman" w:hAnsi="Times New Roman" w:cs="Times New Roman"/>
          <w:color w:val="000000" w:themeColor="text1"/>
          <w:sz w:val="24"/>
          <w:szCs w:val="24"/>
        </w:rPr>
        <w:t xml:space="preserve"> çelja e fondit nga ministria përgjegjëse për financat bëhet pas paraqitjes së kërkesës nga  njësia e vetëqeverisjes vendore përmes ministrisë përgjegjëse për arsimin.</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17</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Kufiri</w:t>
      </w:r>
      <w:r w:rsidR="00B93CCD" w:rsidRPr="00E77755">
        <w:rPr>
          <w:rFonts w:ascii="Times New Roman" w:hAnsi="Times New Roman" w:cs="Times New Roman"/>
          <w:color w:val="000000" w:themeColor="text1"/>
          <w:sz w:val="24"/>
          <w:szCs w:val="24"/>
        </w:rPr>
        <w:t xml:space="preserve"> i shpenzimeve, sipas tabelës l</w:t>
      </w:r>
      <w:r w:rsidRPr="00E77755">
        <w:rPr>
          <w:rFonts w:ascii="Times New Roman" w:hAnsi="Times New Roman" w:cs="Times New Roman"/>
          <w:color w:val="000000" w:themeColor="text1"/>
          <w:sz w:val="24"/>
          <w:szCs w:val="24"/>
        </w:rPr>
        <w:t xml:space="preserve"> që përmendet në</w:t>
      </w:r>
      <w:r w:rsidR="00B93CCD" w:rsidRPr="00E77755">
        <w:rPr>
          <w:rFonts w:ascii="Times New Roman" w:hAnsi="Times New Roman" w:cs="Times New Roman"/>
          <w:color w:val="000000" w:themeColor="text1"/>
          <w:sz w:val="24"/>
          <w:szCs w:val="24"/>
        </w:rPr>
        <w:t xml:space="preserve"> nenin 11</w:t>
      </w:r>
      <w:r w:rsidRPr="00E77755">
        <w:rPr>
          <w:rFonts w:ascii="Times New Roman" w:hAnsi="Times New Roman" w:cs="Times New Roman"/>
          <w:color w:val="000000" w:themeColor="text1"/>
          <w:sz w:val="24"/>
          <w:szCs w:val="24"/>
        </w:rPr>
        <w:t xml:space="preserve"> të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Të drejtat e pë</w:t>
      </w:r>
      <w:r w:rsidR="00B93CCD" w:rsidRPr="00E77755">
        <w:rPr>
          <w:rFonts w:ascii="Times New Roman" w:hAnsi="Times New Roman" w:cs="Times New Roman"/>
          <w:color w:val="000000" w:themeColor="text1"/>
          <w:sz w:val="24"/>
          <w:szCs w:val="24"/>
        </w:rPr>
        <w:t>rcaktuara në nenin 44 të</w:t>
      </w:r>
      <w:r w:rsidRPr="00E77755">
        <w:rPr>
          <w:rFonts w:ascii="Times New Roman" w:hAnsi="Times New Roman" w:cs="Times New Roman"/>
          <w:color w:val="000000" w:themeColor="text1"/>
          <w:sz w:val="24"/>
          <w:szCs w:val="24"/>
        </w:rPr>
        <w:t xml:space="preserve"> ligjit nr.</w:t>
      </w:r>
      <w:r w:rsidR="00B93CCD" w:rsidRPr="00E77755">
        <w:rPr>
          <w:rFonts w:ascii="Times New Roman" w:hAnsi="Times New Roman" w:cs="Times New Roman"/>
          <w:color w:val="000000" w:themeColor="text1"/>
          <w:sz w:val="24"/>
          <w:szCs w:val="24"/>
        </w:rPr>
        <w:t xml:space="preserve"> </w:t>
      </w:r>
      <w:r w:rsidR="00001183" w:rsidRPr="00E77755">
        <w:rPr>
          <w:rFonts w:ascii="Times New Roman" w:hAnsi="Times New Roman" w:cs="Times New Roman"/>
          <w:color w:val="000000" w:themeColor="text1"/>
          <w:sz w:val="24"/>
          <w:szCs w:val="24"/>
        </w:rPr>
        <w:t>9936</w:t>
      </w:r>
      <w:r w:rsidRPr="00E77755">
        <w:rPr>
          <w:rFonts w:ascii="Times New Roman" w:hAnsi="Times New Roman" w:cs="Times New Roman"/>
          <w:color w:val="000000" w:themeColor="text1"/>
          <w:sz w:val="24"/>
          <w:szCs w:val="24"/>
        </w:rPr>
        <w:t xml:space="preserve">, datë 26.6.2008, “Për menaxhimin e sistemit buxhetor në Republikën e Shqipërisë”, tё ndryshuar, për rishpërndarjen e fondeve buxhetore përcaktojnë treguesit e faktit në tabelat 1 </w:t>
      </w:r>
      <w:r w:rsidR="00B93CCD" w:rsidRPr="00E77755">
        <w:rPr>
          <w:rFonts w:ascii="Times New Roman" w:hAnsi="Times New Roman" w:cs="Times New Roman"/>
          <w:color w:val="000000" w:themeColor="text1"/>
          <w:sz w:val="24"/>
          <w:szCs w:val="24"/>
        </w:rPr>
        <w:t>dhe 4, që përmenden në nenin 11</w:t>
      </w:r>
      <w:r w:rsidRPr="00E77755">
        <w:rPr>
          <w:rFonts w:ascii="Times New Roman" w:hAnsi="Times New Roman" w:cs="Times New Roman"/>
          <w:color w:val="000000" w:themeColor="text1"/>
          <w:sz w:val="24"/>
          <w:szCs w:val="24"/>
        </w:rPr>
        <w:t xml:space="preserve"> të këtij ligji.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18</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Tavani për vlerën totale të kontratave në përqindje të PBB-së për të gjitha projektet koncesionare/PPP-të ekzistuese dhe ato të kontraktuara rishtazi për vitin 2023, në përputhje me të dhënat e regjistrit të koncesioneve, ës</w:t>
      </w:r>
      <w:r w:rsidR="003B717B" w:rsidRPr="00E77755">
        <w:rPr>
          <w:rFonts w:ascii="Times New Roman" w:hAnsi="Times New Roman" w:cs="Times New Roman"/>
          <w:color w:val="000000" w:themeColor="text1"/>
          <w:sz w:val="24"/>
          <w:szCs w:val="24"/>
        </w:rPr>
        <w:t xml:space="preserve">htë 30.6% e </w:t>
      </w:r>
      <w:r w:rsidRPr="00E77755">
        <w:rPr>
          <w:rFonts w:ascii="Times New Roman" w:hAnsi="Times New Roman" w:cs="Times New Roman"/>
          <w:color w:val="000000" w:themeColor="text1"/>
          <w:sz w:val="24"/>
          <w:szCs w:val="24"/>
        </w:rPr>
        <w:t>PBB-sё. Çdo kontratë e re ndjek procedurat dhe rregullat e legjislacionit në fuqi për koncesionet/PPP-të.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19</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1. </w:t>
      </w:r>
      <w:r w:rsidRPr="00E77755">
        <w:rPr>
          <w:rFonts w:ascii="Times New Roman" w:hAnsi="Times New Roman" w:cs="Times New Roman"/>
          <w:color w:val="000000" w:themeColor="text1"/>
          <w:sz w:val="24"/>
          <w:szCs w:val="24"/>
        </w:rPr>
        <w:tab/>
        <w:t>Kufiri për rritjen vjetore të totalit ekzistues të stokut të borxhit të qeverisjes qendrore dhe atij të garantuar të qeverisjes qendrore në dobi të palëve të treta përfituese për vitin 2024, pa përfshirë efektet e mundshme prej ndryshimit të kursit të këmbimit, është deri në 33 792 milionë lekë, i dhën</w:t>
      </w:r>
      <w:r w:rsidR="00F82C33" w:rsidRPr="00E77755">
        <w:rPr>
          <w:rFonts w:ascii="Times New Roman" w:hAnsi="Times New Roman" w:cs="Times New Roman"/>
          <w:color w:val="000000" w:themeColor="text1"/>
          <w:sz w:val="24"/>
          <w:szCs w:val="24"/>
        </w:rPr>
        <w:t>ë me hollësi</w:t>
      </w:r>
      <w:r w:rsidR="003B717B" w:rsidRPr="00E77755">
        <w:rPr>
          <w:rFonts w:ascii="Times New Roman" w:hAnsi="Times New Roman" w:cs="Times New Roman"/>
          <w:color w:val="000000" w:themeColor="text1"/>
          <w:sz w:val="24"/>
          <w:szCs w:val="24"/>
        </w:rPr>
        <w:t xml:space="preserve"> si më poshtë</w:t>
      </w:r>
      <w:r w:rsidRPr="00E77755">
        <w:rPr>
          <w:rFonts w:ascii="Times New Roman" w:hAnsi="Times New Roman" w:cs="Times New Roman"/>
          <w:color w:val="000000" w:themeColor="text1"/>
          <w:sz w:val="24"/>
          <w:szCs w:val="24"/>
        </w:rPr>
        <w:t>:</w:t>
      </w:r>
    </w:p>
    <w:p w:rsidR="00E71EE6" w:rsidRPr="00E77755" w:rsidRDefault="001D0184"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a) p</w:t>
      </w:r>
      <w:r w:rsidR="00E71EE6" w:rsidRPr="00E77755">
        <w:rPr>
          <w:rFonts w:ascii="Times New Roman" w:hAnsi="Times New Roman" w:cs="Times New Roman"/>
          <w:color w:val="000000" w:themeColor="text1"/>
          <w:sz w:val="24"/>
          <w:szCs w:val="24"/>
        </w:rPr>
        <w:t xml:space="preserve">ër rritjen vjetore të borxhit të qeverisjes qendrore deri në 34 455 milionë lekë; </w:t>
      </w:r>
    </w:p>
    <w:p w:rsidR="00E71EE6" w:rsidRPr="00E77755" w:rsidRDefault="001D0184"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 p</w:t>
      </w:r>
      <w:r w:rsidR="00E71EE6" w:rsidRPr="00E77755">
        <w:rPr>
          <w:rFonts w:ascii="Times New Roman" w:hAnsi="Times New Roman" w:cs="Times New Roman"/>
          <w:color w:val="000000" w:themeColor="text1"/>
          <w:sz w:val="24"/>
          <w:szCs w:val="24"/>
        </w:rPr>
        <w:t>ër rritjen vjetore të garancive të qeverisjes qendrore në dobi të palëve të treta përfituese deri në (minus) 663 milionë lekë.</w:t>
      </w:r>
    </w:p>
    <w:p w:rsidR="00E71EE6" w:rsidRPr="00E77755" w:rsidRDefault="00E71EE6"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w:t>
      </w:r>
      <w:r w:rsidRPr="00E77755">
        <w:rPr>
          <w:rFonts w:ascii="Times New Roman" w:hAnsi="Times New Roman" w:cs="Times New Roman"/>
          <w:color w:val="000000" w:themeColor="text1"/>
          <w:sz w:val="24"/>
          <w:szCs w:val="24"/>
        </w:rPr>
        <w:tab/>
        <w:t xml:space="preserve">Stoku i borxhit publik vlerësohet të arrijë në 1 454 516 milionë lekë, pa përfshirë efektet e mundshme prej ndryshimit të kursit </w:t>
      </w:r>
      <w:r w:rsidR="00F82C33" w:rsidRPr="00E77755">
        <w:rPr>
          <w:rFonts w:ascii="Times New Roman" w:hAnsi="Times New Roman" w:cs="Times New Roman"/>
          <w:color w:val="000000" w:themeColor="text1"/>
          <w:sz w:val="24"/>
          <w:szCs w:val="24"/>
        </w:rPr>
        <w:t>të këmbimit, i dhënë me hollësi</w:t>
      </w:r>
      <w:r w:rsidRPr="00E77755">
        <w:rPr>
          <w:rFonts w:ascii="Times New Roman" w:hAnsi="Times New Roman" w:cs="Times New Roman"/>
          <w:color w:val="000000" w:themeColor="text1"/>
          <w:sz w:val="24"/>
          <w:szCs w:val="24"/>
        </w:rPr>
        <w:t xml:space="preserve"> si më poshtë:</w:t>
      </w:r>
    </w:p>
    <w:p w:rsidR="00E71EE6" w:rsidRPr="00E77755" w:rsidRDefault="001D0184"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lastRenderedPageBreak/>
        <w:t>a)</w:t>
      </w:r>
      <w:r w:rsidR="00E71EE6"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s</w:t>
      </w:r>
      <w:r w:rsidR="00E71EE6" w:rsidRPr="00E77755">
        <w:rPr>
          <w:rFonts w:ascii="Times New Roman" w:hAnsi="Times New Roman" w:cs="Times New Roman"/>
          <w:color w:val="000000" w:themeColor="text1"/>
          <w:sz w:val="24"/>
          <w:szCs w:val="24"/>
        </w:rPr>
        <w:t>toku i borxhit të qeverisjes qendrore 1 407 816 milionë lekë;</w:t>
      </w:r>
    </w:p>
    <w:p w:rsidR="00E71EE6" w:rsidRPr="00E77755" w:rsidRDefault="001D0184"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 s</w:t>
      </w:r>
      <w:r w:rsidR="00E71EE6" w:rsidRPr="00E77755">
        <w:rPr>
          <w:rFonts w:ascii="Times New Roman" w:hAnsi="Times New Roman" w:cs="Times New Roman"/>
          <w:color w:val="000000" w:themeColor="text1"/>
          <w:sz w:val="24"/>
          <w:szCs w:val="24"/>
        </w:rPr>
        <w:t>toku i borxhit të garantu</w:t>
      </w:r>
      <w:r w:rsidR="007C57D8" w:rsidRPr="00E77755">
        <w:rPr>
          <w:rFonts w:ascii="Times New Roman" w:hAnsi="Times New Roman" w:cs="Times New Roman"/>
          <w:color w:val="000000" w:themeColor="text1"/>
          <w:sz w:val="24"/>
          <w:szCs w:val="24"/>
        </w:rPr>
        <w:t>a</w:t>
      </w:r>
      <w:r w:rsidR="00E71EE6" w:rsidRPr="00E77755">
        <w:rPr>
          <w:rFonts w:ascii="Times New Roman" w:hAnsi="Times New Roman" w:cs="Times New Roman"/>
          <w:color w:val="000000" w:themeColor="text1"/>
          <w:sz w:val="24"/>
          <w:szCs w:val="24"/>
        </w:rPr>
        <w:t>r nga qeverisja qendrore 45 800 milionë lekë;</w:t>
      </w:r>
    </w:p>
    <w:p w:rsidR="00E71EE6" w:rsidRPr="00E77755" w:rsidRDefault="001D0184" w:rsidP="003B717B">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c)</w:t>
      </w:r>
      <w:r w:rsidR="00E71EE6" w:rsidRPr="00E77755">
        <w:rPr>
          <w:rFonts w:ascii="Times New Roman" w:hAnsi="Times New Roman" w:cs="Times New Roman"/>
          <w:color w:val="000000" w:themeColor="text1"/>
          <w:sz w:val="24"/>
          <w:szCs w:val="24"/>
        </w:rPr>
        <w:t xml:space="preserve"> </w:t>
      </w:r>
      <w:r w:rsidRPr="00E77755">
        <w:rPr>
          <w:rFonts w:ascii="Times New Roman" w:hAnsi="Times New Roman" w:cs="Times New Roman"/>
          <w:color w:val="000000" w:themeColor="text1"/>
          <w:sz w:val="24"/>
          <w:szCs w:val="24"/>
        </w:rPr>
        <w:t>s</w:t>
      </w:r>
      <w:r w:rsidR="00E71EE6" w:rsidRPr="00E77755">
        <w:rPr>
          <w:rFonts w:ascii="Times New Roman" w:hAnsi="Times New Roman" w:cs="Times New Roman"/>
          <w:color w:val="000000" w:themeColor="text1"/>
          <w:sz w:val="24"/>
          <w:szCs w:val="24"/>
        </w:rPr>
        <w:t xml:space="preserve">toku i borxhit të </w:t>
      </w:r>
      <w:r w:rsidRPr="00E77755">
        <w:rPr>
          <w:rFonts w:ascii="Times New Roman" w:hAnsi="Times New Roman" w:cs="Times New Roman"/>
          <w:color w:val="000000" w:themeColor="text1"/>
          <w:sz w:val="24"/>
          <w:szCs w:val="24"/>
        </w:rPr>
        <w:t>vetë</w:t>
      </w:r>
      <w:r w:rsidR="00E71EE6" w:rsidRPr="00E77755">
        <w:rPr>
          <w:rFonts w:ascii="Times New Roman" w:hAnsi="Times New Roman" w:cs="Times New Roman"/>
          <w:color w:val="000000" w:themeColor="text1"/>
          <w:sz w:val="24"/>
          <w:szCs w:val="24"/>
        </w:rPr>
        <w:t>qeverisjes vendore 900 milionë lekë.</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F700E5">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20</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1. </w:t>
      </w:r>
      <w:r w:rsidRPr="00E77755">
        <w:rPr>
          <w:rFonts w:ascii="Times New Roman" w:hAnsi="Times New Roman" w:cs="Times New Roman"/>
          <w:color w:val="000000" w:themeColor="text1"/>
          <w:sz w:val="24"/>
          <w:szCs w:val="24"/>
        </w:rPr>
        <w:tab/>
        <w:t xml:space="preserve">Në rast të avancimit në kohë me emetimin përgjatë vitit buxhetor 2024 të një </w:t>
      </w:r>
      <w:r w:rsidR="005C2215" w:rsidRPr="00E77755">
        <w:rPr>
          <w:rFonts w:ascii="Times New Roman" w:hAnsi="Times New Roman" w:cs="Times New Roman"/>
          <w:color w:val="000000" w:themeColor="text1"/>
          <w:sz w:val="24"/>
          <w:szCs w:val="24"/>
        </w:rPr>
        <w:t>e</w:t>
      </w:r>
      <w:r w:rsidRPr="00E77755">
        <w:rPr>
          <w:rFonts w:ascii="Times New Roman" w:hAnsi="Times New Roman" w:cs="Times New Roman"/>
          <w:color w:val="000000" w:themeColor="text1"/>
          <w:sz w:val="24"/>
          <w:szCs w:val="24"/>
        </w:rPr>
        <w:t>urobondi të ri, i cili është parashikuar në vitin buxhetor 2025, në rast të disbursimit të ndonjë kredie shtesë në formën e “mbështetjes buxhetore” nga institucionet financiare ndërkombëtare</w:t>
      </w:r>
      <w:r w:rsidR="005C2215" w:rsidRPr="00E77755">
        <w:rPr>
          <w:rFonts w:ascii="Times New Roman" w:hAnsi="Times New Roman" w:cs="Times New Roman"/>
          <w:color w:val="000000" w:themeColor="text1"/>
          <w:sz w:val="24"/>
          <w:szCs w:val="24"/>
        </w:rPr>
        <w:t>,</w:t>
      </w:r>
      <w:r w:rsidRPr="00E77755">
        <w:rPr>
          <w:rFonts w:ascii="Times New Roman" w:hAnsi="Times New Roman" w:cs="Times New Roman"/>
          <w:color w:val="000000" w:themeColor="text1"/>
          <w:sz w:val="24"/>
          <w:szCs w:val="24"/>
        </w:rPr>
        <w:t xml:space="preserve"> si dhe në rast të përdorimit të fondeve të përfituara nga alokimi i të drejtave të tërheqjes speciale prej Fondit Monetar Ndërkombëtar, kufijtë përkatës për huamarrjen totale neto, rritjen vjetore të borxhit të qeverisjes qendrore dhe nivelin e vlerësuar të stokut total të borxhit publik, t</w:t>
      </w:r>
      <w:r w:rsidR="005C2215" w:rsidRPr="00E77755">
        <w:rPr>
          <w:rFonts w:ascii="Times New Roman" w:hAnsi="Times New Roman" w:cs="Times New Roman"/>
          <w:color w:val="000000" w:themeColor="text1"/>
          <w:sz w:val="24"/>
          <w:szCs w:val="24"/>
        </w:rPr>
        <w:t>ë përcaktuar në nenet 10 dhe 19</w:t>
      </w:r>
      <w:r w:rsidRPr="00E77755">
        <w:rPr>
          <w:rFonts w:ascii="Times New Roman" w:hAnsi="Times New Roman" w:cs="Times New Roman"/>
          <w:color w:val="000000" w:themeColor="text1"/>
          <w:sz w:val="24"/>
          <w:szCs w:val="24"/>
        </w:rPr>
        <w:t xml:space="preserve"> të këtij ligji, mund të tejkalohen deri </w:t>
      </w:r>
      <w:r w:rsidR="005C2215" w:rsidRPr="00E77755">
        <w:rPr>
          <w:rFonts w:ascii="Times New Roman" w:hAnsi="Times New Roman" w:cs="Times New Roman"/>
          <w:color w:val="000000" w:themeColor="text1"/>
          <w:sz w:val="24"/>
          <w:szCs w:val="24"/>
        </w:rPr>
        <w:t>në</w:t>
      </w:r>
      <w:r w:rsidRPr="00E77755">
        <w:rPr>
          <w:rFonts w:ascii="Times New Roman" w:hAnsi="Times New Roman" w:cs="Times New Roman"/>
          <w:color w:val="000000" w:themeColor="text1"/>
          <w:sz w:val="24"/>
          <w:szCs w:val="24"/>
        </w:rPr>
        <w:t xml:space="preserve"> shum</w:t>
      </w:r>
      <w:r w:rsidR="005C2215" w:rsidRPr="00E77755">
        <w:rPr>
          <w:rFonts w:ascii="Times New Roman" w:hAnsi="Times New Roman" w:cs="Times New Roman"/>
          <w:color w:val="000000" w:themeColor="text1"/>
          <w:sz w:val="24"/>
          <w:szCs w:val="24"/>
        </w:rPr>
        <w:t>ën</w:t>
      </w:r>
      <w:r w:rsidRPr="00E77755">
        <w:rPr>
          <w:rFonts w:ascii="Times New Roman" w:hAnsi="Times New Roman" w:cs="Times New Roman"/>
          <w:color w:val="000000" w:themeColor="text1"/>
          <w:sz w:val="24"/>
          <w:szCs w:val="24"/>
        </w:rPr>
        <w:t xml:space="preserve"> e vlerave të përmendura më poshtë:</w:t>
      </w:r>
    </w:p>
    <w:p w:rsidR="00E71EE6" w:rsidRPr="00E77755" w:rsidRDefault="005C2215"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a) v</w:t>
      </w:r>
      <w:r w:rsidR="00E71EE6" w:rsidRPr="00E77755">
        <w:rPr>
          <w:rFonts w:ascii="Times New Roman" w:hAnsi="Times New Roman" w:cs="Times New Roman"/>
          <w:color w:val="000000" w:themeColor="text1"/>
          <w:sz w:val="24"/>
          <w:szCs w:val="24"/>
        </w:rPr>
        <w:t xml:space="preserve">lera e </w:t>
      </w:r>
      <w:r w:rsidRPr="00E77755">
        <w:rPr>
          <w:rFonts w:ascii="Times New Roman" w:hAnsi="Times New Roman" w:cs="Times New Roman"/>
          <w:color w:val="000000" w:themeColor="text1"/>
          <w:sz w:val="24"/>
          <w:szCs w:val="24"/>
        </w:rPr>
        <w:t>e</w:t>
      </w:r>
      <w:r w:rsidR="00E71EE6" w:rsidRPr="00E77755">
        <w:rPr>
          <w:rFonts w:ascii="Times New Roman" w:hAnsi="Times New Roman" w:cs="Times New Roman"/>
          <w:color w:val="000000" w:themeColor="text1"/>
          <w:sz w:val="24"/>
          <w:szCs w:val="24"/>
        </w:rPr>
        <w:t>urobondit të emetuar në avancë</w:t>
      </w:r>
      <w:r w:rsidRPr="00E77755">
        <w:rPr>
          <w:rFonts w:ascii="Times New Roman" w:hAnsi="Times New Roman" w:cs="Times New Roman"/>
          <w:color w:val="000000" w:themeColor="text1"/>
          <w:sz w:val="24"/>
          <w:szCs w:val="24"/>
        </w:rPr>
        <w:t>;</w:t>
      </w:r>
    </w:p>
    <w:p w:rsidR="00E71EE6" w:rsidRPr="00E77755" w:rsidRDefault="005C2215"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b) v</w:t>
      </w:r>
      <w:r w:rsidR="00E71EE6" w:rsidRPr="00E77755">
        <w:rPr>
          <w:rFonts w:ascii="Times New Roman" w:hAnsi="Times New Roman" w:cs="Times New Roman"/>
          <w:color w:val="000000" w:themeColor="text1"/>
          <w:sz w:val="24"/>
          <w:szCs w:val="24"/>
        </w:rPr>
        <w:t>lera e kredisë në formën e “mbështetjes buxhetore” të disbursuar</w:t>
      </w:r>
      <w:r w:rsidRPr="00E77755">
        <w:rPr>
          <w:rFonts w:ascii="Times New Roman" w:hAnsi="Times New Roman" w:cs="Times New Roman"/>
          <w:color w:val="000000" w:themeColor="text1"/>
          <w:sz w:val="24"/>
          <w:szCs w:val="24"/>
        </w:rPr>
        <w:t>;</w:t>
      </w:r>
    </w:p>
    <w:p w:rsidR="00E71EE6" w:rsidRPr="00E77755" w:rsidRDefault="005C2215"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c) v</w:t>
      </w:r>
      <w:r w:rsidR="00E71EE6" w:rsidRPr="00E77755">
        <w:rPr>
          <w:rFonts w:ascii="Times New Roman" w:hAnsi="Times New Roman" w:cs="Times New Roman"/>
          <w:color w:val="000000" w:themeColor="text1"/>
          <w:sz w:val="24"/>
          <w:szCs w:val="24"/>
        </w:rPr>
        <w:t>lera e përdorimit të fondeve të përfituara nga alokimi i të drejtave të tërheqjes speciale prej Fondit Monetar Ndërkombëtar.</w:t>
      </w:r>
    </w:p>
    <w:p w:rsidR="00E71EE6" w:rsidRPr="00E77755" w:rsidRDefault="00E71EE6"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2.  Niveli i deficitit të buxhetit të vitit 2024 mbetet i pandryshuar sipas përcaktimit në nenin 1 të këtij ligji.</w:t>
      </w:r>
    </w:p>
    <w:p w:rsidR="00E71EE6" w:rsidRPr="00E77755" w:rsidRDefault="00E71EE6"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3.</w:t>
      </w:r>
      <w:r w:rsidRPr="00E77755">
        <w:rPr>
          <w:rFonts w:ascii="Times New Roman" w:hAnsi="Times New Roman" w:cs="Times New Roman"/>
          <w:color w:val="000000" w:themeColor="text1"/>
          <w:sz w:val="24"/>
          <w:szCs w:val="24"/>
        </w:rPr>
        <w:tab/>
        <w:t>Këshilli i Ministrave mund të akumulojë dhe mund të mbajë në llogarinë unike të Këshillit të Ministrave në Bankën e Shqipërisë çdo gjendje shtesë të likuiditetit që mund të krijohet dhe të mbartet për të financuar buxhetet e viteve buxhetore pasardhëse, por, në mbyllje të vitit buxhetor, gjendja e akumuluar nuk duhet të kalojë vlerën mesatare prej dy muajsh kumulativë të shpenzimeve buxhetore të planifikuara për atë vit buxhetor.</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F700E5">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21</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Ngarkohet ministri përgjegjës për financat të nxjerrë udhëzime për zbatimin e  këtij ligji.</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F700E5">
      <w:pPr>
        <w:spacing w:after="0" w:line="240" w:lineRule="auto"/>
        <w:jc w:val="center"/>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Neni 22</w:t>
      </w:r>
    </w:p>
    <w:p w:rsidR="00E71EE6" w:rsidRPr="00E77755" w:rsidRDefault="00E71EE6" w:rsidP="00E71EE6">
      <w:pPr>
        <w:spacing w:after="0" w:line="240" w:lineRule="auto"/>
        <w:jc w:val="both"/>
        <w:rPr>
          <w:rFonts w:ascii="Times New Roman" w:hAnsi="Times New Roman" w:cs="Times New Roman"/>
          <w:color w:val="000000" w:themeColor="text1"/>
          <w:sz w:val="24"/>
          <w:szCs w:val="24"/>
        </w:rPr>
      </w:pPr>
    </w:p>
    <w:p w:rsidR="00E71EE6" w:rsidRPr="00E77755" w:rsidRDefault="00E71EE6" w:rsidP="00F700E5">
      <w:pPr>
        <w:spacing w:after="0" w:line="240" w:lineRule="auto"/>
        <w:ind w:firstLine="340"/>
        <w:jc w:val="both"/>
        <w:rPr>
          <w:rFonts w:ascii="Times New Roman" w:hAnsi="Times New Roman" w:cs="Times New Roman"/>
          <w:color w:val="000000" w:themeColor="text1"/>
          <w:sz w:val="24"/>
          <w:szCs w:val="24"/>
        </w:rPr>
      </w:pPr>
      <w:r w:rsidRPr="00E77755">
        <w:rPr>
          <w:rFonts w:ascii="Times New Roman" w:hAnsi="Times New Roman" w:cs="Times New Roman"/>
          <w:color w:val="000000" w:themeColor="text1"/>
          <w:sz w:val="24"/>
          <w:szCs w:val="24"/>
        </w:rPr>
        <w:t xml:space="preserve">Ky ligj hyn </w:t>
      </w:r>
      <w:r w:rsidR="00F700E5" w:rsidRPr="00E77755">
        <w:rPr>
          <w:rFonts w:ascii="Times New Roman" w:hAnsi="Times New Roman" w:cs="Times New Roman"/>
          <w:color w:val="000000" w:themeColor="text1"/>
          <w:sz w:val="24"/>
          <w:szCs w:val="24"/>
        </w:rPr>
        <w:t>në fuqi 15 ditë pas botimit në Fletoren Zyrtare</w:t>
      </w:r>
      <w:r w:rsidRPr="00E77755">
        <w:rPr>
          <w:rFonts w:ascii="Times New Roman" w:hAnsi="Times New Roman" w:cs="Times New Roman"/>
          <w:color w:val="000000" w:themeColor="text1"/>
          <w:sz w:val="24"/>
          <w:szCs w:val="24"/>
        </w:rPr>
        <w:t xml:space="preserve"> dhe i shtrin efektet financiare nga data 1 janar 2024.</w:t>
      </w:r>
    </w:p>
    <w:p w:rsidR="00E71EE6" w:rsidRPr="00E77755" w:rsidRDefault="00E71EE6" w:rsidP="00E71EE6">
      <w:pPr>
        <w:spacing w:after="0" w:line="240" w:lineRule="auto"/>
        <w:jc w:val="both"/>
        <w:rPr>
          <w:rFonts w:ascii="Times New Roman" w:hAnsi="Times New Roman" w:cs="Times New Roman"/>
          <w:b/>
          <w:color w:val="000000" w:themeColor="text1"/>
          <w:sz w:val="24"/>
          <w:szCs w:val="24"/>
        </w:rPr>
      </w:pPr>
      <w:r w:rsidRPr="00E77755">
        <w:rPr>
          <w:rFonts w:ascii="Times New Roman" w:hAnsi="Times New Roman" w:cs="Times New Roman"/>
          <w:b/>
          <w:color w:val="000000" w:themeColor="text1"/>
          <w:sz w:val="24"/>
          <w:szCs w:val="24"/>
        </w:rPr>
        <w:t xml:space="preserve">                                                                                                 </w:t>
      </w:r>
    </w:p>
    <w:p w:rsidR="00F90923" w:rsidRPr="00E77755" w:rsidRDefault="00F90923" w:rsidP="00F700E5">
      <w:pPr>
        <w:spacing w:after="0" w:line="240" w:lineRule="auto"/>
        <w:jc w:val="both"/>
        <w:rPr>
          <w:rFonts w:ascii="Times New Roman" w:hAnsi="Times New Roman" w:cs="Times New Roman"/>
          <w:bCs/>
          <w:color w:val="000000" w:themeColor="text1"/>
          <w:sz w:val="24"/>
          <w:szCs w:val="24"/>
        </w:rPr>
      </w:pPr>
    </w:p>
    <w:p w:rsidR="00F90923" w:rsidRPr="00E77755" w:rsidRDefault="00F90923" w:rsidP="00F90923">
      <w:pPr>
        <w:spacing w:after="0" w:line="240" w:lineRule="auto"/>
        <w:ind w:firstLine="346"/>
        <w:jc w:val="both"/>
        <w:rPr>
          <w:rFonts w:ascii="Times New Roman" w:hAnsi="Times New Roman" w:cs="Times New Roman"/>
          <w:bCs/>
          <w:color w:val="000000" w:themeColor="text1"/>
          <w:sz w:val="24"/>
          <w:szCs w:val="24"/>
        </w:rPr>
      </w:pPr>
    </w:p>
    <w:p w:rsidR="00BB1755" w:rsidRPr="00E77755" w:rsidRDefault="00BB1755" w:rsidP="00BB1755">
      <w:pPr>
        <w:spacing w:after="0" w:line="240" w:lineRule="auto"/>
        <w:ind w:firstLine="346"/>
        <w:rPr>
          <w:rFonts w:ascii="Times New Roman" w:eastAsia="Times New Roman" w:hAnsi="Times New Roman" w:cs="Times New Roman"/>
          <w:color w:val="000000" w:themeColor="text1"/>
          <w:sz w:val="24"/>
        </w:rPr>
      </w:pP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r>
      <w:r w:rsidRPr="00E77755">
        <w:rPr>
          <w:rFonts w:ascii="Times New Roman" w:hAnsi="Times New Roman" w:cs="Times New Roman"/>
          <w:bCs/>
          <w:color w:val="000000" w:themeColor="text1"/>
          <w:sz w:val="24"/>
          <w:szCs w:val="24"/>
        </w:rPr>
        <w:tab/>
        <w:t xml:space="preserve">   </w:t>
      </w:r>
      <w:r w:rsidR="0027350F" w:rsidRPr="00E77755">
        <w:rPr>
          <w:rFonts w:ascii="Times New Roman" w:hAnsi="Times New Roman" w:cs="Times New Roman"/>
          <w:bCs/>
          <w:color w:val="000000" w:themeColor="text1"/>
          <w:sz w:val="24"/>
          <w:szCs w:val="24"/>
        </w:rPr>
        <w:tab/>
      </w:r>
      <w:r w:rsidR="0027350F" w:rsidRPr="00E77755">
        <w:rPr>
          <w:rFonts w:ascii="Times New Roman" w:hAnsi="Times New Roman" w:cs="Times New Roman"/>
          <w:bCs/>
          <w:color w:val="000000" w:themeColor="text1"/>
          <w:sz w:val="24"/>
          <w:szCs w:val="24"/>
        </w:rPr>
        <w:tab/>
      </w:r>
      <w:r w:rsidR="0027350F" w:rsidRPr="00E77755">
        <w:rPr>
          <w:rFonts w:ascii="Times New Roman" w:hAnsi="Times New Roman" w:cs="Times New Roman"/>
          <w:bCs/>
          <w:color w:val="000000" w:themeColor="text1"/>
          <w:sz w:val="24"/>
          <w:szCs w:val="24"/>
        </w:rPr>
        <w:tab/>
      </w:r>
      <w:r w:rsidR="004771A5" w:rsidRPr="00E77755">
        <w:rPr>
          <w:rFonts w:ascii="Times New Roman" w:hAnsi="Times New Roman" w:cs="Times New Roman"/>
          <w:bCs/>
          <w:color w:val="000000" w:themeColor="text1"/>
          <w:sz w:val="24"/>
          <w:szCs w:val="24"/>
        </w:rPr>
        <w:t xml:space="preserve">     </w:t>
      </w:r>
      <w:r w:rsidR="00024790" w:rsidRPr="00E77755">
        <w:rPr>
          <w:rFonts w:ascii="Times New Roman" w:hAnsi="Times New Roman" w:cs="Times New Roman"/>
          <w:bCs/>
          <w:color w:val="000000" w:themeColor="text1"/>
          <w:sz w:val="24"/>
          <w:szCs w:val="24"/>
        </w:rPr>
        <w:t xml:space="preserve">     </w:t>
      </w:r>
      <w:r w:rsidRPr="00E77755">
        <w:rPr>
          <w:rFonts w:ascii="Times New Roman" w:hAnsi="Times New Roman" w:cs="Times New Roman"/>
          <w:bCs/>
          <w:color w:val="000000" w:themeColor="text1"/>
          <w:sz w:val="24"/>
          <w:szCs w:val="24"/>
        </w:rPr>
        <w:t xml:space="preserve"> </w:t>
      </w:r>
      <w:r w:rsidR="006C7476" w:rsidRPr="00E77755">
        <w:rPr>
          <w:rFonts w:ascii="Times New Roman" w:hAnsi="Times New Roman" w:cs="Times New Roman"/>
          <w:bCs/>
          <w:color w:val="000000" w:themeColor="text1"/>
          <w:sz w:val="24"/>
          <w:szCs w:val="24"/>
        </w:rPr>
        <w:t xml:space="preserve"> </w:t>
      </w:r>
      <w:r w:rsidR="00513E1E" w:rsidRPr="00E77755">
        <w:rPr>
          <w:rFonts w:ascii="Times New Roman" w:eastAsia="Times New Roman" w:hAnsi="Times New Roman" w:cs="Times New Roman"/>
          <w:color w:val="000000" w:themeColor="text1"/>
          <w:sz w:val="24"/>
        </w:rPr>
        <w:t>K</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R</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Y</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E</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T</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A</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R</w:t>
      </w:r>
      <w:r w:rsidR="0027350F" w:rsidRPr="00E77755">
        <w:rPr>
          <w:rFonts w:ascii="Times New Roman" w:eastAsia="Times New Roman" w:hAnsi="Times New Roman" w:cs="Times New Roman"/>
          <w:color w:val="000000" w:themeColor="text1"/>
          <w:sz w:val="24"/>
        </w:rPr>
        <w:t xml:space="preserve"> </w:t>
      </w:r>
      <w:r w:rsidR="00513E1E" w:rsidRPr="00E77755">
        <w:rPr>
          <w:rFonts w:ascii="Times New Roman" w:eastAsia="Times New Roman" w:hAnsi="Times New Roman" w:cs="Times New Roman"/>
          <w:color w:val="000000" w:themeColor="text1"/>
          <w:sz w:val="24"/>
        </w:rPr>
        <w:t>E</w:t>
      </w:r>
    </w:p>
    <w:p w:rsidR="00BB1755" w:rsidRPr="00E77755" w:rsidRDefault="00BB1755" w:rsidP="00BB1755">
      <w:pPr>
        <w:spacing w:after="0" w:line="240" w:lineRule="auto"/>
        <w:ind w:firstLine="346"/>
        <w:rPr>
          <w:rFonts w:ascii="Times New Roman" w:eastAsia="Times New Roman" w:hAnsi="Times New Roman" w:cs="Times New Roman"/>
          <w:color w:val="000000" w:themeColor="text1"/>
          <w:sz w:val="24"/>
        </w:rPr>
      </w:pPr>
    </w:p>
    <w:p w:rsidR="00BB1755" w:rsidRPr="00E77755" w:rsidRDefault="002D3DB1" w:rsidP="0027350F">
      <w:pPr>
        <w:spacing w:after="0" w:line="240" w:lineRule="auto"/>
        <w:ind w:left="5434" w:firstLine="346"/>
        <w:jc w:val="both"/>
        <w:rPr>
          <w:rFonts w:ascii="Times New Roman" w:eastAsia="Times New Roman" w:hAnsi="Times New Roman" w:cs="Times New Roman"/>
          <w:b/>
          <w:color w:val="000000" w:themeColor="text1"/>
          <w:sz w:val="24"/>
        </w:rPr>
      </w:pPr>
      <w:r w:rsidRPr="00E77755">
        <w:rPr>
          <w:rFonts w:ascii="Times New Roman" w:eastAsia="Times New Roman" w:hAnsi="Times New Roman" w:cs="Times New Roman"/>
          <w:color w:val="000000" w:themeColor="text1"/>
          <w:sz w:val="24"/>
        </w:rPr>
        <w:t xml:space="preserve">   </w:t>
      </w:r>
      <w:r w:rsidRPr="00E77755">
        <w:rPr>
          <w:rFonts w:ascii="Times New Roman" w:eastAsia="Times New Roman" w:hAnsi="Times New Roman" w:cs="Times New Roman"/>
          <w:color w:val="000000" w:themeColor="text1"/>
          <w:sz w:val="24"/>
        </w:rPr>
        <w:tab/>
      </w:r>
      <w:r w:rsidRPr="00E77755">
        <w:rPr>
          <w:rFonts w:ascii="Times New Roman" w:eastAsia="Times New Roman" w:hAnsi="Times New Roman" w:cs="Times New Roman"/>
          <w:color w:val="000000" w:themeColor="text1"/>
          <w:sz w:val="24"/>
        </w:rPr>
        <w:tab/>
        <w:t xml:space="preserve">     </w:t>
      </w:r>
      <w:r w:rsidR="0027350F" w:rsidRPr="00E77755">
        <w:rPr>
          <w:rFonts w:ascii="Times New Roman" w:eastAsia="Times New Roman" w:hAnsi="Times New Roman" w:cs="Times New Roman"/>
          <w:b/>
          <w:color w:val="000000" w:themeColor="text1"/>
          <w:sz w:val="24"/>
        </w:rPr>
        <w:t>Lindita NIKOLLA</w:t>
      </w:r>
    </w:p>
    <w:p w:rsidR="0052203F" w:rsidRPr="00E77755" w:rsidRDefault="0052203F" w:rsidP="00BB1755">
      <w:pPr>
        <w:spacing w:after="0" w:line="240" w:lineRule="auto"/>
        <w:ind w:left="6460"/>
        <w:jc w:val="both"/>
        <w:rPr>
          <w:rFonts w:ascii="Times New Roman" w:hAnsi="Times New Roman" w:cs="Times New Roman"/>
          <w:bCs/>
          <w:color w:val="000000" w:themeColor="text1"/>
          <w:sz w:val="24"/>
          <w:szCs w:val="24"/>
        </w:rPr>
      </w:pPr>
    </w:p>
    <w:p w:rsidR="0088796B" w:rsidRPr="00E77755" w:rsidRDefault="0088796B" w:rsidP="0052203F">
      <w:pPr>
        <w:spacing w:after="0" w:line="240" w:lineRule="auto"/>
        <w:jc w:val="both"/>
        <w:rPr>
          <w:rFonts w:ascii="Times New Roman" w:hAnsi="Times New Roman" w:cs="Times New Roman"/>
          <w:bCs/>
          <w:color w:val="000000" w:themeColor="text1"/>
          <w:sz w:val="24"/>
          <w:szCs w:val="24"/>
        </w:rPr>
      </w:pPr>
    </w:p>
    <w:p w:rsidR="00DD7DEF" w:rsidRPr="00E77755" w:rsidRDefault="00DD7DEF" w:rsidP="0052203F">
      <w:pPr>
        <w:spacing w:after="0" w:line="240" w:lineRule="auto"/>
        <w:jc w:val="both"/>
        <w:rPr>
          <w:rFonts w:ascii="Times New Roman" w:hAnsi="Times New Roman" w:cs="Times New Roman"/>
          <w:bCs/>
          <w:color w:val="000000" w:themeColor="text1"/>
          <w:sz w:val="24"/>
          <w:szCs w:val="24"/>
        </w:rPr>
      </w:pPr>
    </w:p>
    <w:p w:rsidR="00976A3C" w:rsidRPr="00E77755" w:rsidRDefault="00976A3C" w:rsidP="0052203F">
      <w:pPr>
        <w:spacing w:after="0" w:line="240" w:lineRule="auto"/>
        <w:jc w:val="both"/>
        <w:rPr>
          <w:rFonts w:ascii="Times New Roman" w:hAnsi="Times New Roman" w:cs="Times New Roman"/>
          <w:bCs/>
          <w:color w:val="000000" w:themeColor="text1"/>
          <w:sz w:val="24"/>
          <w:szCs w:val="24"/>
        </w:rPr>
      </w:pPr>
      <w:r w:rsidRPr="00E77755">
        <w:rPr>
          <w:rFonts w:ascii="Times New Roman" w:hAnsi="Times New Roman" w:cs="Times New Roman"/>
          <w:bCs/>
          <w:color w:val="000000" w:themeColor="text1"/>
          <w:sz w:val="24"/>
          <w:szCs w:val="24"/>
        </w:rPr>
        <w:t>Miratuar në datën</w:t>
      </w:r>
      <w:r w:rsidR="00FC6BDD" w:rsidRPr="00E77755">
        <w:rPr>
          <w:rFonts w:ascii="Times New Roman" w:hAnsi="Times New Roman" w:cs="Times New Roman"/>
          <w:bCs/>
          <w:color w:val="000000" w:themeColor="text1"/>
          <w:sz w:val="24"/>
          <w:szCs w:val="24"/>
        </w:rPr>
        <w:t xml:space="preserve"> </w:t>
      </w:r>
      <w:r w:rsidR="005C2215" w:rsidRPr="00E77755">
        <w:rPr>
          <w:rFonts w:ascii="Times New Roman" w:hAnsi="Times New Roman" w:cs="Times New Roman"/>
          <w:bCs/>
          <w:color w:val="000000" w:themeColor="text1"/>
          <w:sz w:val="24"/>
          <w:szCs w:val="24"/>
        </w:rPr>
        <w:t>7.12.</w:t>
      </w:r>
      <w:r w:rsidR="007748A2" w:rsidRPr="00E77755">
        <w:rPr>
          <w:rFonts w:ascii="Times New Roman" w:hAnsi="Times New Roman" w:cs="Times New Roman"/>
          <w:bCs/>
          <w:color w:val="000000" w:themeColor="text1"/>
          <w:sz w:val="24"/>
          <w:szCs w:val="24"/>
        </w:rPr>
        <w:t>2023</w:t>
      </w:r>
    </w:p>
    <w:p w:rsidR="009A2331" w:rsidRPr="00E77755" w:rsidRDefault="009A2331" w:rsidP="009A2331">
      <w:pPr>
        <w:spacing w:after="0" w:line="240" w:lineRule="auto"/>
        <w:rPr>
          <w:rFonts w:ascii="Times New Roman" w:eastAsia="Times New Roman" w:hAnsi="Times New Roman" w:cs="Times New Roman"/>
          <w:color w:val="000000" w:themeColor="text1"/>
          <w:sz w:val="20"/>
          <w:szCs w:val="20"/>
        </w:rPr>
      </w:pPr>
    </w:p>
    <w:p w:rsidR="00213234" w:rsidRPr="00E77755" w:rsidRDefault="00213234" w:rsidP="00B07A20">
      <w:pPr>
        <w:spacing w:after="0"/>
        <w:jc w:val="both"/>
        <w:rPr>
          <w:rFonts w:ascii="Times New Roman" w:hAnsi="Times New Roman" w:cs="Times New Roman"/>
          <w:bCs/>
          <w:color w:val="000000" w:themeColor="text1"/>
          <w:sz w:val="20"/>
          <w:szCs w:val="20"/>
        </w:rPr>
      </w:pPr>
      <w:bookmarkStart w:id="0" w:name="_GoBack"/>
      <w:bookmarkEnd w:id="0"/>
    </w:p>
    <w:sectPr w:rsidR="00213234" w:rsidRPr="00E77755" w:rsidSect="00AE5B81">
      <w:footerReference w:type="default" r:id="rId8"/>
      <w:pgSz w:w="11906" w:h="16838" w:code="9"/>
      <w:pgMar w:top="1152" w:right="1152" w:bottom="1152" w:left="11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AE" w:rsidRDefault="003964AE" w:rsidP="00420682">
      <w:pPr>
        <w:spacing w:after="0" w:line="240" w:lineRule="auto"/>
      </w:pPr>
      <w:r>
        <w:separator/>
      </w:r>
    </w:p>
  </w:endnote>
  <w:endnote w:type="continuationSeparator" w:id="0">
    <w:p w:rsidR="003964AE" w:rsidRDefault="003964AE"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62233"/>
      <w:docPartObj>
        <w:docPartGallery w:val="Page Numbers (Bottom of Page)"/>
        <w:docPartUnique/>
      </w:docPartObj>
    </w:sdtPr>
    <w:sdtEndPr>
      <w:rPr>
        <w:noProof/>
      </w:rPr>
    </w:sdtEndPr>
    <w:sdtContent>
      <w:p w:rsidR="0096575A" w:rsidRDefault="0096575A">
        <w:pPr>
          <w:pStyle w:val="Footer"/>
          <w:jc w:val="center"/>
        </w:pPr>
        <w:r w:rsidRPr="0096575A">
          <w:rPr>
            <w:rFonts w:ascii="Times New Roman" w:hAnsi="Times New Roman" w:cs="Times New Roman"/>
            <w:sz w:val="24"/>
            <w:szCs w:val="24"/>
          </w:rPr>
          <w:fldChar w:fldCharType="begin"/>
        </w:r>
        <w:r w:rsidRPr="0096575A">
          <w:rPr>
            <w:rFonts w:ascii="Times New Roman" w:hAnsi="Times New Roman" w:cs="Times New Roman"/>
            <w:sz w:val="24"/>
            <w:szCs w:val="24"/>
          </w:rPr>
          <w:instrText xml:space="preserve"> PAGE   \* MERGEFORMAT </w:instrText>
        </w:r>
        <w:r w:rsidRPr="0096575A">
          <w:rPr>
            <w:rFonts w:ascii="Times New Roman" w:hAnsi="Times New Roman" w:cs="Times New Roman"/>
            <w:sz w:val="24"/>
            <w:szCs w:val="24"/>
          </w:rPr>
          <w:fldChar w:fldCharType="separate"/>
        </w:r>
        <w:r w:rsidR="00956625">
          <w:rPr>
            <w:rFonts w:ascii="Times New Roman" w:hAnsi="Times New Roman" w:cs="Times New Roman"/>
            <w:noProof/>
            <w:sz w:val="24"/>
            <w:szCs w:val="24"/>
          </w:rPr>
          <w:t>8</w:t>
        </w:r>
        <w:r w:rsidRPr="0096575A">
          <w:rPr>
            <w:rFonts w:ascii="Times New Roman" w:hAnsi="Times New Roman" w:cs="Times New Roman"/>
            <w:noProof/>
            <w:sz w:val="24"/>
            <w:szCs w:val="24"/>
          </w:rPr>
          <w:fldChar w:fldCharType="end"/>
        </w:r>
      </w:p>
    </w:sdtContent>
  </w:sdt>
  <w:p w:rsidR="006C6D22" w:rsidRDefault="006C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AE" w:rsidRDefault="003964AE" w:rsidP="00420682">
      <w:pPr>
        <w:spacing w:after="0" w:line="240" w:lineRule="auto"/>
      </w:pPr>
      <w:r>
        <w:separator/>
      </w:r>
    </w:p>
  </w:footnote>
  <w:footnote w:type="continuationSeparator" w:id="0">
    <w:p w:rsidR="003964AE" w:rsidRDefault="003964AE" w:rsidP="0042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754E"/>
    <w:multiLevelType w:val="hybridMultilevel"/>
    <w:tmpl w:val="BE62640E"/>
    <w:lvl w:ilvl="0" w:tplc="0DD4E048">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A"/>
    <w:rsid w:val="00001183"/>
    <w:rsid w:val="00001406"/>
    <w:rsid w:val="00002637"/>
    <w:rsid w:val="00002A97"/>
    <w:rsid w:val="00002F75"/>
    <w:rsid w:val="00011558"/>
    <w:rsid w:val="000115A2"/>
    <w:rsid w:val="000141A5"/>
    <w:rsid w:val="00024790"/>
    <w:rsid w:val="00043C57"/>
    <w:rsid w:val="00054966"/>
    <w:rsid w:val="00055AB5"/>
    <w:rsid w:val="00060376"/>
    <w:rsid w:val="00070CAE"/>
    <w:rsid w:val="00072080"/>
    <w:rsid w:val="00075305"/>
    <w:rsid w:val="000765C2"/>
    <w:rsid w:val="00091A46"/>
    <w:rsid w:val="00096985"/>
    <w:rsid w:val="00097617"/>
    <w:rsid w:val="000A1E47"/>
    <w:rsid w:val="000A3B4D"/>
    <w:rsid w:val="000A6B3D"/>
    <w:rsid w:val="000B28B7"/>
    <w:rsid w:val="000B3F8E"/>
    <w:rsid w:val="000D199E"/>
    <w:rsid w:val="000E268C"/>
    <w:rsid w:val="000E5BA6"/>
    <w:rsid w:val="000F46AF"/>
    <w:rsid w:val="000F482E"/>
    <w:rsid w:val="00106F6D"/>
    <w:rsid w:val="0011415C"/>
    <w:rsid w:val="00121E29"/>
    <w:rsid w:val="00122D1F"/>
    <w:rsid w:val="0012550D"/>
    <w:rsid w:val="00130958"/>
    <w:rsid w:val="00132CEC"/>
    <w:rsid w:val="00135A36"/>
    <w:rsid w:val="00136EC9"/>
    <w:rsid w:val="00146D52"/>
    <w:rsid w:val="00153CC5"/>
    <w:rsid w:val="00154CFD"/>
    <w:rsid w:val="00155BCF"/>
    <w:rsid w:val="00155EBC"/>
    <w:rsid w:val="00166898"/>
    <w:rsid w:val="00167D1D"/>
    <w:rsid w:val="00176471"/>
    <w:rsid w:val="001816AF"/>
    <w:rsid w:val="00191A00"/>
    <w:rsid w:val="001941F2"/>
    <w:rsid w:val="001942D4"/>
    <w:rsid w:val="001960B2"/>
    <w:rsid w:val="001A1919"/>
    <w:rsid w:val="001A2945"/>
    <w:rsid w:val="001B2638"/>
    <w:rsid w:val="001B796E"/>
    <w:rsid w:val="001C0806"/>
    <w:rsid w:val="001C2335"/>
    <w:rsid w:val="001C445C"/>
    <w:rsid w:val="001C5CDE"/>
    <w:rsid w:val="001C6A0A"/>
    <w:rsid w:val="001C7EC0"/>
    <w:rsid w:val="001D0184"/>
    <w:rsid w:val="001D2895"/>
    <w:rsid w:val="001D31EB"/>
    <w:rsid w:val="001D77D6"/>
    <w:rsid w:val="001D7939"/>
    <w:rsid w:val="001E24B1"/>
    <w:rsid w:val="001E2ADF"/>
    <w:rsid w:val="001F194A"/>
    <w:rsid w:val="001F78C3"/>
    <w:rsid w:val="001F797D"/>
    <w:rsid w:val="0020004E"/>
    <w:rsid w:val="002009A1"/>
    <w:rsid w:val="0020160E"/>
    <w:rsid w:val="0020170B"/>
    <w:rsid w:val="002044B0"/>
    <w:rsid w:val="0020507F"/>
    <w:rsid w:val="002101FE"/>
    <w:rsid w:val="00212E52"/>
    <w:rsid w:val="00213234"/>
    <w:rsid w:val="00214854"/>
    <w:rsid w:val="0021715D"/>
    <w:rsid w:val="00224329"/>
    <w:rsid w:val="00225EBD"/>
    <w:rsid w:val="00233280"/>
    <w:rsid w:val="00234BD8"/>
    <w:rsid w:val="0024206A"/>
    <w:rsid w:val="00243B60"/>
    <w:rsid w:val="00247DF1"/>
    <w:rsid w:val="00250F7F"/>
    <w:rsid w:val="0026293F"/>
    <w:rsid w:val="00264FD5"/>
    <w:rsid w:val="00266C06"/>
    <w:rsid w:val="0027350F"/>
    <w:rsid w:val="002753F6"/>
    <w:rsid w:val="00277C89"/>
    <w:rsid w:val="002A47D7"/>
    <w:rsid w:val="002C7626"/>
    <w:rsid w:val="002C7D02"/>
    <w:rsid w:val="002D3DB1"/>
    <w:rsid w:val="002D4309"/>
    <w:rsid w:val="002D5F14"/>
    <w:rsid w:val="002E0FFB"/>
    <w:rsid w:val="002E2079"/>
    <w:rsid w:val="002E5221"/>
    <w:rsid w:val="002F000B"/>
    <w:rsid w:val="002F5953"/>
    <w:rsid w:val="002F5F81"/>
    <w:rsid w:val="00300CDA"/>
    <w:rsid w:val="003168B3"/>
    <w:rsid w:val="00325554"/>
    <w:rsid w:val="003305E1"/>
    <w:rsid w:val="003333CC"/>
    <w:rsid w:val="00336EED"/>
    <w:rsid w:val="003403C8"/>
    <w:rsid w:val="003547D6"/>
    <w:rsid w:val="00365BF7"/>
    <w:rsid w:val="003745EF"/>
    <w:rsid w:val="00375597"/>
    <w:rsid w:val="0038331D"/>
    <w:rsid w:val="00395396"/>
    <w:rsid w:val="003953EE"/>
    <w:rsid w:val="003960E0"/>
    <w:rsid w:val="003964AE"/>
    <w:rsid w:val="00397541"/>
    <w:rsid w:val="003A135F"/>
    <w:rsid w:val="003A38DC"/>
    <w:rsid w:val="003A63A5"/>
    <w:rsid w:val="003B717B"/>
    <w:rsid w:val="003C400C"/>
    <w:rsid w:val="003C48FF"/>
    <w:rsid w:val="003D5049"/>
    <w:rsid w:val="003D59B2"/>
    <w:rsid w:val="003D5ED0"/>
    <w:rsid w:val="003D63F5"/>
    <w:rsid w:val="003E72F7"/>
    <w:rsid w:val="003F29A8"/>
    <w:rsid w:val="003F398D"/>
    <w:rsid w:val="0040042E"/>
    <w:rsid w:val="00403A89"/>
    <w:rsid w:val="0041300C"/>
    <w:rsid w:val="00420682"/>
    <w:rsid w:val="0042341E"/>
    <w:rsid w:val="00433BCD"/>
    <w:rsid w:val="00436717"/>
    <w:rsid w:val="00445610"/>
    <w:rsid w:val="0045538C"/>
    <w:rsid w:val="00455BBA"/>
    <w:rsid w:val="00460BC4"/>
    <w:rsid w:val="004647DB"/>
    <w:rsid w:val="00471609"/>
    <w:rsid w:val="004771A5"/>
    <w:rsid w:val="00477804"/>
    <w:rsid w:val="004866A8"/>
    <w:rsid w:val="00496497"/>
    <w:rsid w:val="004A5884"/>
    <w:rsid w:val="004A5DE6"/>
    <w:rsid w:val="004B12D2"/>
    <w:rsid w:val="004B6ED9"/>
    <w:rsid w:val="004C2DFD"/>
    <w:rsid w:val="004D3CFC"/>
    <w:rsid w:val="004E0701"/>
    <w:rsid w:val="004E0CFF"/>
    <w:rsid w:val="004E48D1"/>
    <w:rsid w:val="004E62D6"/>
    <w:rsid w:val="004E7290"/>
    <w:rsid w:val="004E7E53"/>
    <w:rsid w:val="004F446C"/>
    <w:rsid w:val="004F447A"/>
    <w:rsid w:val="004F7030"/>
    <w:rsid w:val="00511A6D"/>
    <w:rsid w:val="00513E1E"/>
    <w:rsid w:val="00513F13"/>
    <w:rsid w:val="005201B5"/>
    <w:rsid w:val="0052203F"/>
    <w:rsid w:val="00522FFB"/>
    <w:rsid w:val="0052733B"/>
    <w:rsid w:val="00531970"/>
    <w:rsid w:val="00531A97"/>
    <w:rsid w:val="00533AC7"/>
    <w:rsid w:val="00536F06"/>
    <w:rsid w:val="00542102"/>
    <w:rsid w:val="00550FA3"/>
    <w:rsid w:val="0055575B"/>
    <w:rsid w:val="00556AD2"/>
    <w:rsid w:val="0055707F"/>
    <w:rsid w:val="005661F9"/>
    <w:rsid w:val="00570DA2"/>
    <w:rsid w:val="005726F2"/>
    <w:rsid w:val="00573EE3"/>
    <w:rsid w:val="005767F6"/>
    <w:rsid w:val="00591503"/>
    <w:rsid w:val="00591A3B"/>
    <w:rsid w:val="0059248B"/>
    <w:rsid w:val="0059342C"/>
    <w:rsid w:val="005A7379"/>
    <w:rsid w:val="005B1D69"/>
    <w:rsid w:val="005B6E3F"/>
    <w:rsid w:val="005C1F7E"/>
    <w:rsid w:val="005C2215"/>
    <w:rsid w:val="005F00A8"/>
    <w:rsid w:val="0060398D"/>
    <w:rsid w:val="0060535D"/>
    <w:rsid w:val="006066FA"/>
    <w:rsid w:val="0061141E"/>
    <w:rsid w:val="0062077A"/>
    <w:rsid w:val="00621A17"/>
    <w:rsid w:val="00623CA9"/>
    <w:rsid w:val="00637B8A"/>
    <w:rsid w:val="006465EF"/>
    <w:rsid w:val="00646924"/>
    <w:rsid w:val="00663243"/>
    <w:rsid w:val="00670AA2"/>
    <w:rsid w:val="0067406E"/>
    <w:rsid w:val="00677E6C"/>
    <w:rsid w:val="00683C22"/>
    <w:rsid w:val="00694869"/>
    <w:rsid w:val="00696D19"/>
    <w:rsid w:val="006A2688"/>
    <w:rsid w:val="006B3074"/>
    <w:rsid w:val="006B3952"/>
    <w:rsid w:val="006C3818"/>
    <w:rsid w:val="006C54E5"/>
    <w:rsid w:val="006C6D22"/>
    <w:rsid w:val="006C7476"/>
    <w:rsid w:val="006F4D55"/>
    <w:rsid w:val="007031E5"/>
    <w:rsid w:val="00707B70"/>
    <w:rsid w:val="007140D9"/>
    <w:rsid w:val="007217C2"/>
    <w:rsid w:val="007243F1"/>
    <w:rsid w:val="00726525"/>
    <w:rsid w:val="0073064D"/>
    <w:rsid w:val="00736DC8"/>
    <w:rsid w:val="007403CF"/>
    <w:rsid w:val="00742442"/>
    <w:rsid w:val="00750246"/>
    <w:rsid w:val="00750AED"/>
    <w:rsid w:val="007654B3"/>
    <w:rsid w:val="00770CEF"/>
    <w:rsid w:val="00770FAD"/>
    <w:rsid w:val="00774741"/>
    <w:rsid w:val="007748A2"/>
    <w:rsid w:val="007749AC"/>
    <w:rsid w:val="007A2A36"/>
    <w:rsid w:val="007A2E0E"/>
    <w:rsid w:val="007B4156"/>
    <w:rsid w:val="007B46AF"/>
    <w:rsid w:val="007C083E"/>
    <w:rsid w:val="007C57D8"/>
    <w:rsid w:val="007D6440"/>
    <w:rsid w:val="007D742E"/>
    <w:rsid w:val="007D76F7"/>
    <w:rsid w:val="007E2515"/>
    <w:rsid w:val="007E6D9E"/>
    <w:rsid w:val="007F5841"/>
    <w:rsid w:val="008030D2"/>
    <w:rsid w:val="00811138"/>
    <w:rsid w:val="0081405B"/>
    <w:rsid w:val="00820E26"/>
    <w:rsid w:val="0083509D"/>
    <w:rsid w:val="00840462"/>
    <w:rsid w:val="008420C3"/>
    <w:rsid w:val="0085472C"/>
    <w:rsid w:val="00857D03"/>
    <w:rsid w:val="008620E4"/>
    <w:rsid w:val="0086360A"/>
    <w:rsid w:val="008720AB"/>
    <w:rsid w:val="0087264B"/>
    <w:rsid w:val="0087468B"/>
    <w:rsid w:val="008814EA"/>
    <w:rsid w:val="00883D53"/>
    <w:rsid w:val="0088796B"/>
    <w:rsid w:val="00887E61"/>
    <w:rsid w:val="008914C1"/>
    <w:rsid w:val="00892C77"/>
    <w:rsid w:val="00896644"/>
    <w:rsid w:val="0089762F"/>
    <w:rsid w:val="008A1646"/>
    <w:rsid w:val="008B3FAE"/>
    <w:rsid w:val="008C15C7"/>
    <w:rsid w:val="008C1C92"/>
    <w:rsid w:val="008C3427"/>
    <w:rsid w:val="008D12D7"/>
    <w:rsid w:val="008D3FB7"/>
    <w:rsid w:val="008D4F14"/>
    <w:rsid w:val="008E125A"/>
    <w:rsid w:val="00900D7B"/>
    <w:rsid w:val="0091014E"/>
    <w:rsid w:val="009104DF"/>
    <w:rsid w:val="00925F09"/>
    <w:rsid w:val="00944D6B"/>
    <w:rsid w:val="00954FD3"/>
    <w:rsid w:val="00956625"/>
    <w:rsid w:val="00957A39"/>
    <w:rsid w:val="0096096B"/>
    <w:rsid w:val="009629C7"/>
    <w:rsid w:val="0096575A"/>
    <w:rsid w:val="00970D95"/>
    <w:rsid w:val="00974717"/>
    <w:rsid w:val="00976A3C"/>
    <w:rsid w:val="00991D86"/>
    <w:rsid w:val="0099741A"/>
    <w:rsid w:val="009A2331"/>
    <w:rsid w:val="009A4870"/>
    <w:rsid w:val="009A6F98"/>
    <w:rsid w:val="009A789B"/>
    <w:rsid w:val="009B1183"/>
    <w:rsid w:val="009B61B1"/>
    <w:rsid w:val="009C0ABA"/>
    <w:rsid w:val="009C12D6"/>
    <w:rsid w:val="009C52A4"/>
    <w:rsid w:val="009D36E7"/>
    <w:rsid w:val="00A00DE3"/>
    <w:rsid w:val="00A01F1A"/>
    <w:rsid w:val="00A06D12"/>
    <w:rsid w:val="00A10B5D"/>
    <w:rsid w:val="00A1237A"/>
    <w:rsid w:val="00A15DE9"/>
    <w:rsid w:val="00A27C1F"/>
    <w:rsid w:val="00A34D9D"/>
    <w:rsid w:val="00A35A3F"/>
    <w:rsid w:val="00A36786"/>
    <w:rsid w:val="00A431DD"/>
    <w:rsid w:val="00A5415E"/>
    <w:rsid w:val="00A645A6"/>
    <w:rsid w:val="00A75385"/>
    <w:rsid w:val="00A97B73"/>
    <w:rsid w:val="00AA32E0"/>
    <w:rsid w:val="00AA5367"/>
    <w:rsid w:val="00AA545E"/>
    <w:rsid w:val="00AB14B8"/>
    <w:rsid w:val="00AB18EF"/>
    <w:rsid w:val="00AC2686"/>
    <w:rsid w:val="00AD1072"/>
    <w:rsid w:val="00AD2AD0"/>
    <w:rsid w:val="00AE5B81"/>
    <w:rsid w:val="00AF0CE9"/>
    <w:rsid w:val="00AF5D8E"/>
    <w:rsid w:val="00AF79BB"/>
    <w:rsid w:val="00B03A16"/>
    <w:rsid w:val="00B05FAF"/>
    <w:rsid w:val="00B07A20"/>
    <w:rsid w:val="00B14BBE"/>
    <w:rsid w:val="00B17529"/>
    <w:rsid w:val="00B26672"/>
    <w:rsid w:val="00B3200A"/>
    <w:rsid w:val="00B46B49"/>
    <w:rsid w:val="00B51F9D"/>
    <w:rsid w:val="00B54D96"/>
    <w:rsid w:val="00B6099E"/>
    <w:rsid w:val="00B6427E"/>
    <w:rsid w:val="00B67778"/>
    <w:rsid w:val="00B67E49"/>
    <w:rsid w:val="00B8668D"/>
    <w:rsid w:val="00B93CCD"/>
    <w:rsid w:val="00B9783F"/>
    <w:rsid w:val="00BA1706"/>
    <w:rsid w:val="00BA5571"/>
    <w:rsid w:val="00BA7752"/>
    <w:rsid w:val="00BB15C8"/>
    <w:rsid w:val="00BB1755"/>
    <w:rsid w:val="00BC0B3B"/>
    <w:rsid w:val="00BD4611"/>
    <w:rsid w:val="00BD625D"/>
    <w:rsid w:val="00BE2D48"/>
    <w:rsid w:val="00BE4BA2"/>
    <w:rsid w:val="00C1023D"/>
    <w:rsid w:val="00C10624"/>
    <w:rsid w:val="00C17A6D"/>
    <w:rsid w:val="00C31328"/>
    <w:rsid w:val="00C33585"/>
    <w:rsid w:val="00C40B28"/>
    <w:rsid w:val="00C4191B"/>
    <w:rsid w:val="00C446ED"/>
    <w:rsid w:val="00C5239D"/>
    <w:rsid w:val="00C53EBB"/>
    <w:rsid w:val="00C60CAD"/>
    <w:rsid w:val="00C6573D"/>
    <w:rsid w:val="00C70D94"/>
    <w:rsid w:val="00C71734"/>
    <w:rsid w:val="00C751AA"/>
    <w:rsid w:val="00C85BBF"/>
    <w:rsid w:val="00C90FD7"/>
    <w:rsid w:val="00C92A38"/>
    <w:rsid w:val="00C92C5B"/>
    <w:rsid w:val="00CA0828"/>
    <w:rsid w:val="00CB0B77"/>
    <w:rsid w:val="00CB474E"/>
    <w:rsid w:val="00CC15A1"/>
    <w:rsid w:val="00CC7CA2"/>
    <w:rsid w:val="00CE2478"/>
    <w:rsid w:val="00CE42A7"/>
    <w:rsid w:val="00CF5B1F"/>
    <w:rsid w:val="00CF5B26"/>
    <w:rsid w:val="00D01C15"/>
    <w:rsid w:val="00D127E2"/>
    <w:rsid w:val="00D1517D"/>
    <w:rsid w:val="00D23C4B"/>
    <w:rsid w:val="00D24B56"/>
    <w:rsid w:val="00D41916"/>
    <w:rsid w:val="00D45AC2"/>
    <w:rsid w:val="00D50CA0"/>
    <w:rsid w:val="00D51772"/>
    <w:rsid w:val="00D52992"/>
    <w:rsid w:val="00D56C48"/>
    <w:rsid w:val="00D60C6B"/>
    <w:rsid w:val="00D87B52"/>
    <w:rsid w:val="00DA2B84"/>
    <w:rsid w:val="00DA56D4"/>
    <w:rsid w:val="00DC0191"/>
    <w:rsid w:val="00DC03DB"/>
    <w:rsid w:val="00DC0BDC"/>
    <w:rsid w:val="00DC34E0"/>
    <w:rsid w:val="00DD7DEF"/>
    <w:rsid w:val="00DE163B"/>
    <w:rsid w:val="00DF2019"/>
    <w:rsid w:val="00DF295D"/>
    <w:rsid w:val="00DF7D66"/>
    <w:rsid w:val="00E04303"/>
    <w:rsid w:val="00E07E8C"/>
    <w:rsid w:val="00E20095"/>
    <w:rsid w:val="00E208F9"/>
    <w:rsid w:val="00E32B8C"/>
    <w:rsid w:val="00E33812"/>
    <w:rsid w:val="00E370B3"/>
    <w:rsid w:val="00E42635"/>
    <w:rsid w:val="00E452DA"/>
    <w:rsid w:val="00E6234F"/>
    <w:rsid w:val="00E64795"/>
    <w:rsid w:val="00E71EE6"/>
    <w:rsid w:val="00E72BC5"/>
    <w:rsid w:val="00E76B9D"/>
    <w:rsid w:val="00E77755"/>
    <w:rsid w:val="00E7782A"/>
    <w:rsid w:val="00E82905"/>
    <w:rsid w:val="00E90D23"/>
    <w:rsid w:val="00EB03C1"/>
    <w:rsid w:val="00EC47A4"/>
    <w:rsid w:val="00EC55E7"/>
    <w:rsid w:val="00EC57E8"/>
    <w:rsid w:val="00EC5B31"/>
    <w:rsid w:val="00ED7107"/>
    <w:rsid w:val="00EE7E5D"/>
    <w:rsid w:val="00EF4CCD"/>
    <w:rsid w:val="00EF7E55"/>
    <w:rsid w:val="00F03F03"/>
    <w:rsid w:val="00F07F7F"/>
    <w:rsid w:val="00F234B6"/>
    <w:rsid w:val="00F30C68"/>
    <w:rsid w:val="00F321FF"/>
    <w:rsid w:val="00F32C43"/>
    <w:rsid w:val="00F52125"/>
    <w:rsid w:val="00F537D2"/>
    <w:rsid w:val="00F62A46"/>
    <w:rsid w:val="00F630AC"/>
    <w:rsid w:val="00F700E5"/>
    <w:rsid w:val="00F814BA"/>
    <w:rsid w:val="00F82C33"/>
    <w:rsid w:val="00F84F9C"/>
    <w:rsid w:val="00F90923"/>
    <w:rsid w:val="00FA02A3"/>
    <w:rsid w:val="00FA0571"/>
    <w:rsid w:val="00FA065B"/>
    <w:rsid w:val="00FA3C0E"/>
    <w:rsid w:val="00FB4F69"/>
    <w:rsid w:val="00FB5CED"/>
    <w:rsid w:val="00FC24EB"/>
    <w:rsid w:val="00FC484A"/>
    <w:rsid w:val="00FC631E"/>
    <w:rsid w:val="00FC6BDD"/>
    <w:rsid w:val="00FD3EA6"/>
    <w:rsid w:val="00FE32E6"/>
    <w:rsid w:val="00FF1103"/>
    <w:rsid w:val="00FF279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FE2E"/>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6C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22"/>
  </w:style>
  <w:style w:type="paragraph" w:styleId="Footer">
    <w:name w:val="footer"/>
    <w:basedOn w:val="Normal"/>
    <w:link w:val="FooterChar"/>
    <w:uiPriority w:val="99"/>
    <w:unhideWhenUsed/>
    <w:rsid w:val="006C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22"/>
  </w:style>
  <w:style w:type="paragraph" w:styleId="NoSpacing">
    <w:name w:val="No Spacing"/>
    <w:uiPriority w:val="1"/>
    <w:qFormat/>
    <w:rsid w:val="00513F13"/>
    <w:pPr>
      <w:spacing w:after="0" w:line="240" w:lineRule="auto"/>
    </w:pPr>
  </w:style>
  <w:style w:type="paragraph" w:styleId="ListParagraph">
    <w:name w:val="List Paragraph"/>
    <w:basedOn w:val="Normal"/>
    <w:uiPriority w:val="34"/>
    <w:qFormat/>
    <w:rsid w:val="0051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289507310">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788766852">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1E2AB-E72F-4566-A335-8472FCF1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8</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Alma Kola</cp:lastModifiedBy>
  <cp:revision>262</cp:revision>
  <cp:lastPrinted>2023-12-15T12:48:00Z</cp:lastPrinted>
  <dcterms:created xsi:type="dcterms:W3CDTF">2023-06-16T08:01:00Z</dcterms:created>
  <dcterms:modified xsi:type="dcterms:W3CDTF">2023-12-15T12:58:00Z</dcterms:modified>
</cp:coreProperties>
</file>